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27" w:rsidRPr="00B37140" w:rsidRDefault="00116C5B" w:rsidP="002C3DA4">
      <w:pPr>
        <w:jc w:val="right"/>
        <w:rPr>
          <w:sz w:val="24"/>
          <w:szCs w:val="24"/>
        </w:rPr>
      </w:pPr>
      <w:r>
        <w:rPr>
          <w:sz w:val="24"/>
          <w:szCs w:val="24"/>
        </w:rPr>
        <w:t xml:space="preserve">29 July </w:t>
      </w:r>
      <w:r w:rsidR="002C3DA4" w:rsidRPr="00B37140">
        <w:rPr>
          <w:sz w:val="24"/>
          <w:szCs w:val="24"/>
        </w:rPr>
        <w:t>201</w:t>
      </w:r>
      <w:r>
        <w:rPr>
          <w:sz w:val="24"/>
          <w:szCs w:val="24"/>
        </w:rPr>
        <w:t>6</w:t>
      </w:r>
    </w:p>
    <w:p w:rsidR="002C3DA4" w:rsidRPr="00B37140" w:rsidRDefault="002C3DA4" w:rsidP="002C3DA4">
      <w:pPr>
        <w:jc w:val="right"/>
        <w:rPr>
          <w:sz w:val="24"/>
          <w:szCs w:val="24"/>
        </w:rPr>
      </w:pPr>
    </w:p>
    <w:p w:rsidR="002C3DA4" w:rsidRPr="00B37140" w:rsidRDefault="002C3DA4" w:rsidP="002C3DA4">
      <w:pPr>
        <w:rPr>
          <w:sz w:val="24"/>
          <w:szCs w:val="24"/>
        </w:rPr>
      </w:pPr>
      <w:r w:rsidRPr="00B37140">
        <w:rPr>
          <w:sz w:val="24"/>
          <w:szCs w:val="24"/>
        </w:rPr>
        <w:t>From:</w:t>
      </w:r>
      <w:r w:rsidRPr="00B37140">
        <w:rPr>
          <w:sz w:val="24"/>
          <w:szCs w:val="24"/>
        </w:rPr>
        <w:tab/>
      </w:r>
      <w:r w:rsidR="00CB3E8D">
        <w:rPr>
          <w:sz w:val="24"/>
          <w:szCs w:val="24"/>
        </w:rPr>
        <w:t xml:space="preserve">LCDR </w:t>
      </w:r>
      <w:r w:rsidR="00116C5B">
        <w:rPr>
          <w:sz w:val="24"/>
          <w:szCs w:val="24"/>
        </w:rPr>
        <w:t>Henry A. Martinez II</w:t>
      </w:r>
      <w:r w:rsidR="00CB3E8D">
        <w:rPr>
          <w:sz w:val="24"/>
          <w:szCs w:val="24"/>
        </w:rPr>
        <w:t xml:space="preserve"> USN</w:t>
      </w:r>
      <w:r w:rsidRPr="00B37140">
        <w:rPr>
          <w:sz w:val="24"/>
          <w:szCs w:val="24"/>
        </w:rPr>
        <w:t xml:space="preserve">, ANSO </w:t>
      </w:r>
      <w:r w:rsidR="00116C5B">
        <w:rPr>
          <w:sz w:val="24"/>
          <w:szCs w:val="24"/>
        </w:rPr>
        <w:t xml:space="preserve">Western Region </w:t>
      </w:r>
      <w:r w:rsidRPr="00B37140">
        <w:rPr>
          <w:sz w:val="24"/>
          <w:szCs w:val="24"/>
        </w:rPr>
        <w:t>Vice-President</w:t>
      </w:r>
    </w:p>
    <w:p w:rsidR="002C3DA4" w:rsidRPr="00B37140" w:rsidRDefault="002C3DA4" w:rsidP="002C3DA4">
      <w:pPr>
        <w:rPr>
          <w:sz w:val="24"/>
          <w:szCs w:val="24"/>
        </w:rPr>
      </w:pPr>
      <w:r w:rsidRPr="00B37140">
        <w:rPr>
          <w:sz w:val="24"/>
          <w:szCs w:val="24"/>
        </w:rPr>
        <w:t>To:</w:t>
      </w:r>
      <w:r w:rsidRPr="00B37140">
        <w:rPr>
          <w:sz w:val="24"/>
          <w:szCs w:val="24"/>
        </w:rPr>
        <w:tab/>
        <w:t xml:space="preserve">ANSO </w:t>
      </w:r>
      <w:r w:rsidR="00116C5B">
        <w:rPr>
          <w:sz w:val="24"/>
          <w:szCs w:val="24"/>
        </w:rPr>
        <w:t xml:space="preserve">National </w:t>
      </w:r>
      <w:r w:rsidRPr="00B37140">
        <w:rPr>
          <w:sz w:val="24"/>
          <w:szCs w:val="24"/>
        </w:rPr>
        <w:t>President</w:t>
      </w:r>
    </w:p>
    <w:p w:rsidR="002C3DA4" w:rsidRPr="00B37140" w:rsidRDefault="002C3DA4" w:rsidP="002C3DA4">
      <w:pPr>
        <w:rPr>
          <w:sz w:val="24"/>
          <w:szCs w:val="24"/>
        </w:rPr>
      </w:pPr>
    </w:p>
    <w:p w:rsidR="002C3DA4" w:rsidRPr="00B37140" w:rsidRDefault="002C3DA4" w:rsidP="00CD7DE9">
      <w:pPr>
        <w:ind w:left="720" w:hanging="720"/>
        <w:rPr>
          <w:sz w:val="24"/>
          <w:szCs w:val="24"/>
        </w:rPr>
      </w:pPr>
      <w:r w:rsidRPr="00B37140">
        <w:rPr>
          <w:sz w:val="24"/>
          <w:szCs w:val="24"/>
        </w:rPr>
        <w:t>Subj:</w:t>
      </w:r>
      <w:r w:rsidRPr="00B37140">
        <w:rPr>
          <w:sz w:val="24"/>
          <w:szCs w:val="24"/>
        </w:rPr>
        <w:tab/>
      </w:r>
      <w:r w:rsidR="00CD7DE9" w:rsidRPr="00B37140">
        <w:rPr>
          <w:sz w:val="24"/>
          <w:szCs w:val="24"/>
        </w:rPr>
        <w:t>ASSOCI</w:t>
      </w:r>
      <w:r w:rsidR="00CD7DE9">
        <w:rPr>
          <w:sz w:val="24"/>
          <w:szCs w:val="24"/>
        </w:rPr>
        <w:t>ATION OF NAVAL SERVICES OFFICERS (ANSO)</w:t>
      </w:r>
      <w:r w:rsidR="00CD7DE9" w:rsidRPr="00B37140">
        <w:rPr>
          <w:sz w:val="24"/>
          <w:szCs w:val="24"/>
        </w:rPr>
        <w:t xml:space="preserve"> </w:t>
      </w:r>
      <w:r w:rsidR="00CD7DE9">
        <w:rPr>
          <w:sz w:val="24"/>
          <w:szCs w:val="24"/>
        </w:rPr>
        <w:t xml:space="preserve">WESTERN REGION </w:t>
      </w:r>
      <w:r w:rsidR="00CD7DE9" w:rsidRPr="00B37140">
        <w:rPr>
          <w:sz w:val="24"/>
          <w:szCs w:val="24"/>
        </w:rPr>
        <w:t xml:space="preserve">SYMPOSIUM, </w:t>
      </w:r>
      <w:r w:rsidR="00CD7DE9">
        <w:rPr>
          <w:sz w:val="24"/>
          <w:szCs w:val="24"/>
        </w:rPr>
        <w:t>19 MAY 2016 A</w:t>
      </w:r>
      <w:r w:rsidR="00CD7DE9" w:rsidRPr="00B37140">
        <w:rPr>
          <w:sz w:val="24"/>
          <w:szCs w:val="24"/>
        </w:rPr>
        <w:t>FTER ACTION REPORT</w:t>
      </w:r>
    </w:p>
    <w:p w:rsidR="002C3DA4" w:rsidRPr="00B37140" w:rsidRDefault="002C3DA4" w:rsidP="002C3DA4">
      <w:pPr>
        <w:rPr>
          <w:sz w:val="24"/>
          <w:szCs w:val="24"/>
        </w:rPr>
      </w:pPr>
    </w:p>
    <w:p w:rsidR="00CB3E8D" w:rsidRPr="00CB3E8D" w:rsidRDefault="002C3DA4" w:rsidP="00CB3E8D">
      <w:pPr>
        <w:pStyle w:val="ListParagraph"/>
        <w:numPr>
          <w:ilvl w:val="0"/>
          <w:numId w:val="1"/>
        </w:numPr>
        <w:ind w:left="450" w:hanging="450"/>
        <w:rPr>
          <w:sz w:val="24"/>
          <w:szCs w:val="24"/>
        </w:rPr>
      </w:pPr>
      <w:r w:rsidRPr="00B37140">
        <w:rPr>
          <w:sz w:val="24"/>
          <w:szCs w:val="24"/>
        </w:rPr>
        <w:t xml:space="preserve">On </w:t>
      </w:r>
      <w:r w:rsidR="00116C5B">
        <w:rPr>
          <w:sz w:val="24"/>
          <w:szCs w:val="24"/>
        </w:rPr>
        <w:t xml:space="preserve">Thursday 19 May </w:t>
      </w:r>
      <w:r w:rsidRPr="00B37140">
        <w:rPr>
          <w:sz w:val="24"/>
          <w:szCs w:val="24"/>
        </w:rPr>
        <w:t>201</w:t>
      </w:r>
      <w:r w:rsidR="00116C5B">
        <w:rPr>
          <w:sz w:val="24"/>
          <w:szCs w:val="24"/>
        </w:rPr>
        <w:t>6</w:t>
      </w:r>
      <w:r w:rsidRPr="00B37140">
        <w:rPr>
          <w:sz w:val="24"/>
          <w:szCs w:val="24"/>
        </w:rPr>
        <w:t xml:space="preserve">, the ANSO </w:t>
      </w:r>
      <w:r w:rsidR="00116C5B">
        <w:rPr>
          <w:sz w:val="24"/>
          <w:szCs w:val="24"/>
        </w:rPr>
        <w:t>San Diego</w:t>
      </w:r>
      <w:r w:rsidRPr="00B37140">
        <w:rPr>
          <w:sz w:val="24"/>
          <w:szCs w:val="24"/>
        </w:rPr>
        <w:t xml:space="preserve"> Chapter hosted the </w:t>
      </w:r>
      <w:r w:rsidR="00116C5B">
        <w:rPr>
          <w:sz w:val="24"/>
          <w:szCs w:val="24"/>
        </w:rPr>
        <w:t xml:space="preserve">third Western Region </w:t>
      </w:r>
      <w:r w:rsidR="00B748B1">
        <w:rPr>
          <w:sz w:val="24"/>
          <w:szCs w:val="24"/>
        </w:rPr>
        <w:t>Symposium</w:t>
      </w:r>
      <w:r w:rsidRPr="00B37140">
        <w:rPr>
          <w:sz w:val="24"/>
          <w:szCs w:val="24"/>
        </w:rPr>
        <w:t xml:space="preserve"> at </w:t>
      </w:r>
      <w:r w:rsidR="00B748B1">
        <w:rPr>
          <w:sz w:val="24"/>
          <w:szCs w:val="24"/>
        </w:rPr>
        <w:t>Admiral Kidd Conference C</w:t>
      </w:r>
      <w:r w:rsidR="00116C5B">
        <w:rPr>
          <w:sz w:val="24"/>
          <w:szCs w:val="24"/>
        </w:rPr>
        <w:t xml:space="preserve">enter </w:t>
      </w:r>
      <w:r w:rsidR="00B748B1">
        <w:rPr>
          <w:sz w:val="24"/>
          <w:szCs w:val="24"/>
        </w:rPr>
        <w:t xml:space="preserve">in </w:t>
      </w:r>
      <w:r w:rsidR="00116C5B">
        <w:rPr>
          <w:sz w:val="24"/>
          <w:szCs w:val="24"/>
        </w:rPr>
        <w:t>San Diego</w:t>
      </w:r>
      <w:r w:rsidR="00B748B1">
        <w:rPr>
          <w:sz w:val="24"/>
          <w:szCs w:val="24"/>
        </w:rPr>
        <w:t xml:space="preserve">, CA.  </w:t>
      </w:r>
      <w:r w:rsidR="00116C5B">
        <w:rPr>
          <w:sz w:val="24"/>
          <w:szCs w:val="24"/>
        </w:rPr>
        <w:t>T</w:t>
      </w:r>
      <w:r w:rsidRPr="00B37140">
        <w:rPr>
          <w:sz w:val="24"/>
          <w:szCs w:val="24"/>
        </w:rPr>
        <w:t xml:space="preserve">he symposium theme was – </w:t>
      </w:r>
      <w:r w:rsidR="00382A1E" w:rsidRPr="00382A1E">
        <w:rPr>
          <w:sz w:val="24"/>
          <w:szCs w:val="24"/>
        </w:rPr>
        <w:t>Mentoring and Career Management to Grow Our Future Leaders</w:t>
      </w:r>
      <w:r w:rsidRPr="00B37140">
        <w:rPr>
          <w:sz w:val="24"/>
          <w:szCs w:val="24"/>
        </w:rPr>
        <w:t>.</w:t>
      </w:r>
      <w:r w:rsidR="002C300E" w:rsidRPr="00B37140">
        <w:rPr>
          <w:sz w:val="24"/>
          <w:szCs w:val="24"/>
        </w:rPr>
        <w:t xml:space="preserve">  ANSO serves as the acknowledge</w:t>
      </w:r>
      <w:r w:rsidR="00B748B1">
        <w:rPr>
          <w:sz w:val="24"/>
          <w:szCs w:val="24"/>
        </w:rPr>
        <w:t>d</w:t>
      </w:r>
      <w:r w:rsidR="002C300E" w:rsidRPr="00B37140">
        <w:rPr>
          <w:sz w:val="24"/>
          <w:szCs w:val="24"/>
        </w:rPr>
        <w:t xml:space="preserve"> leader in recruiting, developing, and retaining Hispanics in the Sea Services (Coast Guard, Navy, Marine Corps, </w:t>
      </w:r>
      <w:r w:rsidR="00B748B1">
        <w:rPr>
          <w:sz w:val="24"/>
          <w:szCs w:val="24"/>
        </w:rPr>
        <w:t xml:space="preserve">and </w:t>
      </w:r>
      <w:r w:rsidR="002C300E" w:rsidRPr="00B37140">
        <w:rPr>
          <w:sz w:val="24"/>
          <w:szCs w:val="24"/>
        </w:rPr>
        <w:t>Merchant Marine).  ANSO’s mission is to assist the Sea Service Chiefs’ efforts in Hispanic workforce recruitment and retention by:</w:t>
      </w:r>
    </w:p>
    <w:p w:rsidR="002C300E" w:rsidRPr="00B37140" w:rsidRDefault="00B748B1" w:rsidP="00CB3E8D">
      <w:pPr>
        <w:pStyle w:val="ListParagraph"/>
        <w:numPr>
          <w:ilvl w:val="2"/>
          <w:numId w:val="6"/>
        </w:numPr>
        <w:ind w:left="1350" w:hanging="450"/>
        <w:rPr>
          <w:sz w:val="24"/>
          <w:szCs w:val="24"/>
        </w:rPr>
      </w:pPr>
      <w:r>
        <w:rPr>
          <w:color w:val="000000"/>
          <w:sz w:val="24"/>
          <w:szCs w:val="24"/>
        </w:rPr>
        <w:t>F</w:t>
      </w:r>
      <w:r w:rsidR="002C300E" w:rsidRPr="00B37140">
        <w:rPr>
          <w:color w:val="000000"/>
          <w:sz w:val="24"/>
          <w:szCs w:val="24"/>
        </w:rPr>
        <w:t xml:space="preserve">ostering the personal growth and professional development of officers, enlisted, and civilians; </w:t>
      </w:r>
    </w:p>
    <w:p w:rsidR="002C300E" w:rsidRPr="00B37140" w:rsidRDefault="00B748B1" w:rsidP="00CB3E8D">
      <w:pPr>
        <w:pStyle w:val="ListParagraph"/>
        <w:numPr>
          <w:ilvl w:val="2"/>
          <w:numId w:val="6"/>
        </w:numPr>
        <w:ind w:left="1350" w:hanging="450"/>
        <w:rPr>
          <w:sz w:val="24"/>
          <w:szCs w:val="24"/>
        </w:rPr>
      </w:pPr>
      <w:r>
        <w:rPr>
          <w:color w:val="000000"/>
          <w:sz w:val="24"/>
          <w:szCs w:val="24"/>
        </w:rPr>
        <w:t>P</w:t>
      </w:r>
      <w:r w:rsidR="002C300E" w:rsidRPr="00B37140">
        <w:rPr>
          <w:color w:val="000000"/>
          <w:sz w:val="24"/>
          <w:szCs w:val="24"/>
        </w:rPr>
        <w:t>roviding mentoring, networking, training, and educational opportunities; and</w:t>
      </w:r>
    </w:p>
    <w:p w:rsidR="006A128E" w:rsidRPr="00B37140" w:rsidRDefault="003D0CB2" w:rsidP="00CB3E8D">
      <w:pPr>
        <w:pStyle w:val="ListParagraph"/>
        <w:numPr>
          <w:ilvl w:val="2"/>
          <w:numId w:val="6"/>
        </w:numPr>
        <w:ind w:left="1350" w:hanging="450"/>
        <w:rPr>
          <w:sz w:val="24"/>
          <w:szCs w:val="24"/>
        </w:rPr>
      </w:pPr>
      <w:r w:rsidRPr="00B37140">
        <w:rPr>
          <w:color w:val="000000"/>
          <w:sz w:val="24"/>
          <w:szCs w:val="24"/>
        </w:rPr>
        <w:t>Engaging</w:t>
      </w:r>
      <w:r w:rsidR="002C300E" w:rsidRPr="00B37140">
        <w:rPr>
          <w:color w:val="000000"/>
          <w:sz w:val="24"/>
          <w:szCs w:val="24"/>
        </w:rPr>
        <w:t xml:space="preserve"> the Hispanic community through outreach initiatives.</w:t>
      </w:r>
      <w:r w:rsidR="006A128E" w:rsidRPr="00B37140">
        <w:rPr>
          <w:color w:val="000000"/>
          <w:sz w:val="24"/>
          <w:szCs w:val="24"/>
        </w:rPr>
        <w:br/>
      </w:r>
    </w:p>
    <w:p w:rsidR="005706A0" w:rsidRPr="00B37140" w:rsidRDefault="005706A0" w:rsidP="00B748B1">
      <w:pPr>
        <w:pStyle w:val="ListParagraph"/>
        <w:numPr>
          <w:ilvl w:val="0"/>
          <w:numId w:val="1"/>
        </w:numPr>
        <w:ind w:left="450" w:hanging="450"/>
        <w:rPr>
          <w:sz w:val="24"/>
          <w:szCs w:val="24"/>
        </w:rPr>
      </w:pPr>
      <w:r w:rsidRPr="00B37140">
        <w:rPr>
          <w:color w:val="000000"/>
          <w:sz w:val="24"/>
          <w:szCs w:val="24"/>
        </w:rPr>
        <w:t xml:space="preserve">The </w:t>
      </w:r>
      <w:r w:rsidR="003D0CB2">
        <w:rPr>
          <w:color w:val="000000"/>
          <w:sz w:val="24"/>
          <w:szCs w:val="24"/>
        </w:rPr>
        <w:t xml:space="preserve">Western </w:t>
      </w:r>
      <w:r w:rsidR="00B748B1">
        <w:rPr>
          <w:color w:val="000000"/>
          <w:sz w:val="24"/>
          <w:szCs w:val="24"/>
        </w:rPr>
        <w:t>Region</w:t>
      </w:r>
      <w:r w:rsidRPr="00B37140">
        <w:rPr>
          <w:color w:val="000000"/>
          <w:sz w:val="24"/>
          <w:szCs w:val="24"/>
        </w:rPr>
        <w:t xml:space="preserve"> Symposium was attended by </w:t>
      </w:r>
      <w:r w:rsidR="003D0CB2">
        <w:rPr>
          <w:color w:val="000000"/>
          <w:sz w:val="24"/>
          <w:szCs w:val="24"/>
        </w:rPr>
        <w:t xml:space="preserve">various enlisted and </w:t>
      </w:r>
      <w:r w:rsidR="00B748B1">
        <w:rPr>
          <w:color w:val="000000"/>
          <w:sz w:val="24"/>
          <w:szCs w:val="24"/>
        </w:rPr>
        <w:t>o</w:t>
      </w:r>
      <w:r w:rsidR="003D0CB2">
        <w:rPr>
          <w:color w:val="000000"/>
          <w:sz w:val="24"/>
          <w:szCs w:val="24"/>
        </w:rPr>
        <w:t>fficers from the following branches</w:t>
      </w:r>
      <w:r w:rsidR="00B748B1">
        <w:rPr>
          <w:color w:val="000000"/>
          <w:sz w:val="24"/>
          <w:szCs w:val="24"/>
        </w:rPr>
        <w:t>:</w:t>
      </w:r>
      <w:r w:rsidR="003D0CB2">
        <w:rPr>
          <w:color w:val="000000"/>
          <w:sz w:val="24"/>
          <w:szCs w:val="24"/>
        </w:rPr>
        <w:t xml:space="preserve"> USMC, </w:t>
      </w:r>
      <w:r w:rsidR="00B748B1">
        <w:rPr>
          <w:color w:val="000000"/>
          <w:sz w:val="24"/>
          <w:szCs w:val="24"/>
        </w:rPr>
        <w:t xml:space="preserve">USN, </w:t>
      </w:r>
      <w:r w:rsidR="003D0CB2">
        <w:rPr>
          <w:color w:val="000000"/>
          <w:sz w:val="24"/>
          <w:szCs w:val="24"/>
        </w:rPr>
        <w:t>USCG and civilians</w:t>
      </w:r>
      <w:r w:rsidRPr="00B37140">
        <w:rPr>
          <w:color w:val="000000"/>
          <w:sz w:val="24"/>
          <w:szCs w:val="24"/>
        </w:rPr>
        <w:t xml:space="preserve">.  </w:t>
      </w:r>
      <w:r w:rsidR="00B748B1">
        <w:rPr>
          <w:color w:val="000000"/>
          <w:sz w:val="24"/>
          <w:szCs w:val="24"/>
        </w:rPr>
        <w:t xml:space="preserve">ANSO National President Rear </w:t>
      </w:r>
      <w:r w:rsidR="003D0CB2">
        <w:rPr>
          <w:color w:val="000000"/>
          <w:sz w:val="24"/>
          <w:szCs w:val="24"/>
        </w:rPr>
        <w:t>Admiral William Rodriguez</w:t>
      </w:r>
      <w:r w:rsidR="00B748B1">
        <w:rPr>
          <w:color w:val="000000"/>
          <w:sz w:val="24"/>
          <w:szCs w:val="24"/>
        </w:rPr>
        <w:t xml:space="preserve"> (ret)</w:t>
      </w:r>
      <w:r w:rsidR="003D0CB2">
        <w:rPr>
          <w:color w:val="000000"/>
          <w:sz w:val="24"/>
          <w:szCs w:val="24"/>
        </w:rPr>
        <w:t xml:space="preserve"> </w:t>
      </w:r>
      <w:r w:rsidRPr="00B37140">
        <w:rPr>
          <w:color w:val="000000"/>
          <w:sz w:val="24"/>
          <w:szCs w:val="24"/>
        </w:rPr>
        <w:t xml:space="preserve">carved out time from </w:t>
      </w:r>
      <w:r w:rsidR="003D0CB2">
        <w:rPr>
          <w:color w:val="000000"/>
          <w:sz w:val="24"/>
          <w:szCs w:val="24"/>
        </w:rPr>
        <w:t xml:space="preserve">his </w:t>
      </w:r>
      <w:r w:rsidR="00B748B1">
        <w:rPr>
          <w:color w:val="000000"/>
          <w:sz w:val="24"/>
          <w:szCs w:val="24"/>
        </w:rPr>
        <w:t>extremely busy schedule</w:t>
      </w:r>
      <w:r w:rsidRPr="00B37140">
        <w:rPr>
          <w:color w:val="000000"/>
          <w:sz w:val="24"/>
          <w:szCs w:val="24"/>
        </w:rPr>
        <w:t xml:space="preserve"> to participate and engage the attendees. Their attendance was well received and appreciated.</w:t>
      </w:r>
    </w:p>
    <w:p w:rsidR="005706A0" w:rsidRPr="00B37140" w:rsidRDefault="005706A0" w:rsidP="00B748B1">
      <w:pPr>
        <w:ind w:left="450" w:hanging="450"/>
        <w:rPr>
          <w:sz w:val="24"/>
          <w:szCs w:val="24"/>
        </w:rPr>
      </w:pPr>
    </w:p>
    <w:p w:rsidR="00A325E4" w:rsidRPr="00B37140" w:rsidRDefault="005706A0" w:rsidP="00B748B1">
      <w:pPr>
        <w:pStyle w:val="ListParagraph"/>
        <w:numPr>
          <w:ilvl w:val="0"/>
          <w:numId w:val="1"/>
        </w:numPr>
        <w:ind w:left="450" w:hanging="450"/>
        <w:rPr>
          <w:sz w:val="24"/>
          <w:szCs w:val="24"/>
        </w:rPr>
      </w:pPr>
      <w:r w:rsidRPr="00B37140">
        <w:rPr>
          <w:sz w:val="24"/>
          <w:szCs w:val="24"/>
        </w:rPr>
        <w:t xml:space="preserve">It is unfortunate that none of the Senior </w:t>
      </w:r>
      <w:r w:rsidR="003D0CB2">
        <w:rPr>
          <w:sz w:val="24"/>
          <w:szCs w:val="24"/>
        </w:rPr>
        <w:t xml:space="preserve">Ranking Officers from the </w:t>
      </w:r>
      <w:r w:rsidRPr="00B37140">
        <w:rPr>
          <w:sz w:val="24"/>
          <w:szCs w:val="24"/>
        </w:rPr>
        <w:t>Services were not in attendance at this particular symposium.  ANSO opened its doors to enlisted</w:t>
      </w:r>
      <w:r w:rsidR="00CB3E8D">
        <w:rPr>
          <w:sz w:val="24"/>
          <w:szCs w:val="24"/>
        </w:rPr>
        <w:t xml:space="preserve"> personnel</w:t>
      </w:r>
      <w:r w:rsidRPr="00B37140">
        <w:rPr>
          <w:sz w:val="24"/>
          <w:szCs w:val="24"/>
        </w:rPr>
        <w:t xml:space="preserve"> </w:t>
      </w:r>
      <w:r w:rsidR="00B748B1">
        <w:rPr>
          <w:sz w:val="24"/>
          <w:szCs w:val="24"/>
        </w:rPr>
        <w:t>and</w:t>
      </w:r>
      <w:r w:rsidR="003D0CB2">
        <w:rPr>
          <w:sz w:val="24"/>
          <w:szCs w:val="24"/>
        </w:rPr>
        <w:t xml:space="preserve"> officers </w:t>
      </w:r>
      <w:r w:rsidRPr="00B37140">
        <w:rPr>
          <w:sz w:val="24"/>
          <w:szCs w:val="24"/>
        </w:rPr>
        <w:t>in 2006, and this was the first time of this unfortunate occurrence.  Breakdown of attendees is as follows:</w:t>
      </w:r>
    </w:p>
    <w:p w:rsidR="00FA1C98" w:rsidRPr="00B37140" w:rsidRDefault="00FA1C98" w:rsidP="00B748B1">
      <w:pPr>
        <w:pStyle w:val="ListParagraph"/>
        <w:ind w:left="450" w:hanging="450"/>
        <w:rPr>
          <w:sz w:val="24"/>
          <w:szCs w:val="24"/>
        </w:rPr>
      </w:pPr>
    </w:p>
    <w:tbl>
      <w:tblPr>
        <w:tblpPr w:leftFromText="180" w:rightFromText="180" w:vertAnchor="text" w:horzAnchor="margin" w:tblpXSpec="center" w:tblpY="77"/>
        <w:tblW w:w="0" w:type="auto"/>
        <w:tblLayout w:type="fixed"/>
        <w:tblCellMar>
          <w:left w:w="30" w:type="dxa"/>
          <w:right w:w="30" w:type="dxa"/>
        </w:tblCellMar>
        <w:tblLook w:val="0000"/>
      </w:tblPr>
      <w:tblGrid>
        <w:gridCol w:w="2263"/>
        <w:gridCol w:w="1899"/>
        <w:gridCol w:w="1821"/>
        <w:gridCol w:w="1347"/>
        <w:gridCol w:w="1346"/>
      </w:tblGrid>
      <w:tr w:rsidR="00A325E4" w:rsidRPr="00B37140" w:rsidTr="00B748B1">
        <w:trPr>
          <w:trHeight w:val="312"/>
        </w:trPr>
        <w:tc>
          <w:tcPr>
            <w:tcW w:w="2263" w:type="dxa"/>
            <w:tcBorders>
              <w:top w:val="single" w:sz="6" w:space="0" w:color="auto"/>
              <w:left w:val="single" w:sz="6" w:space="0" w:color="auto"/>
              <w:bottom w:val="single" w:sz="6" w:space="0" w:color="auto"/>
              <w:right w:val="single" w:sz="6" w:space="0" w:color="auto"/>
            </w:tcBorders>
            <w:shd w:val="clear" w:color="auto" w:fill="92D050"/>
          </w:tcPr>
          <w:p w:rsidR="00A325E4" w:rsidRPr="00B37140" w:rsidRDefault="00A325E4" w:rsidP="00B748B1">
            <w:pPr>
              <w:overflowPunct/>
              <w:ind w:left="450" w:hanging="450"/>
              <w:jc w:val="center"/>
              <w:textAlignment w:val="auto"/>
              <w:rPr>
                <w:b/>
                <w:bCs/>
                <w:color w:val="000000"/>
                <w:sz w:val="24"/>
                <w:szCs w:val="24"/>
              </w:rPr>
            </w:pPr>
            <w:r w:rsidRPr="00B37140">
              <w:rPr>
                <w:b/>
                <w:bCs/>
                <w:color w:val="000000"/>
                <w:sz w:val="24"/>
                <w:szCs w:val="24"/>
              </w:rPr>
              <w:t>Organization</w:t>
            </w:r>
          </w:p>
        </w:tc>
        <w:tc>
          <w:tcPr>
            <w:tcW w:w="1899" w:type="dxa"/>
            <w:tcBorders>
              <w:top w:val="single" w:sz="6" w:space="0" w:color="auto"/>
              <w:left w:val="single" w:sz="6" w:space="0" w:color="auto"/>
              <w:bottom w:val="single" w:sz="6" w:space="0" w:color="auto"/>
              <w:right w:val="single" w:sz="6" w:space="0" w:color="auto"/>
            </w:tcBorders>
            <w:shd w:val="clear" w:color="auto" w:fill="92D050"/>
          </w:tcPr>
          <w:p w:rsidR="00A325E4" w:rsidRPr="00B37140" w:rsidRDefault="00A325E4" w:rsidP="00B748B1">
            <w:pPr>
              <w:overflowPunct/>
              <w:ind w:left="450" w:hanging="450"/>
              <w:jc w:val="center"/>
              <w:textAlignment w:val="auto"/>
              <w:rPr>
                <w:b/>
                <w:bCs/>
                <w:color w:val="000000"/>
                <w:sz w:val="24"/>
                <w:szCs w:val="24"/>
              </w:rPr>
            </w:pPr>
            <w:r w:rsidRPr="00B37140">
              <w:rPr>
                <w:b/>
                <w:bCs/>
                <w:color w:val="000000"/>
                <w:sz w:val="24"/>
                <w:szCs w:val="24"/>
              </w:rPr>
              <w:t>Attended</w:t>
            </w:r>
          </w:p>
        </w:tc>
        <w:tc>
          <w:tcPr>
            <w:tcW w:w="1821" w:type="dxa"/>
            <w:tcBorders>
              <w:top w:val="single" w:sz="6" w:space="0" w:color="auto"/>
              <w:left w:val="single" w:sz="6" w:space="0" w:color="auto"/>
              <w:bottom w:val="single" w:sz="6" w:space="0" w:color="auto"/>
              <w:right w:val="single" w:sz="6" w:space="0" w:color="auto"/>
            </w:tcBorders>
            <w:shd w:val="clear" w:color="auto" w:fill="92D050"/>
          </w:tcPr>
          <w:p w:rsidR="00A325E4" w:rsidRPr="00B37140" w:rsidRDefault="00A325E4" w:rsidP="00B748B1">
            <w:pPr>
              <w:overflowPunct/>
              <w:ind w:left="450" w:hanging="450"/>
              <w:jc w:val="center"/>
              <w:textAlignment w:val="auto"/>
              <w:rPr>
                <w:b/>
                <w:bCs/>
                <w:color w:val="000000"/>
                <w:sz w:val="24"/>
                <w:szCs w:val="24"/>
              </w:rPr>
            </w:pPr>
            <w:r w:rsidRPr="00B37140">
              <w:rPr>
                <w:b/>
                <w:bCs/>
                <w:color w:val="000000"/>
                <w:sz w:val="24"/>
                <w:szCs w:val="24"/>
              </w:rPr>
              <w:t>Officers</w:t>
            </w:r>
          </w:p>
        </w:tc>
        <w:tc>
          <w:tcPr>
            <w:tcW w:w="1347" w:type="dxa"/>
            <w:tcBorders>
              <w:top w:val="single" w:sz="6" w:space="0" w:color="auto"/>
              <w:left w:val="single" w:sz="6" w:space="0" w:color="auto"/>
              <w:bottom w:val="single" w:sz="6" w:space="0" w:color="auto"/>
              <w:right w:val="single" w:sz="6" w:space="0" w:color="auto"/>
            </w:tcBorders>
            <w:shd w:val="clear" w:color="auto" w:fill="92D050"/>
          </w:tcPr>
          <w:p w:rsidR="00A325E4" w:rsidRPr="00B37140" w:rsidRDefault="00A325E4" w:rsidP="00B748B1">
            <w:pPr>
              <w:overflowPunct/>
              <w:ind w:left="450" w:hanging="450"/>
              <w:jc w:val="center"/>
              <w:textAlignment w:val="auto"/>
              <w:rPr>
                <w:b/>
                <w:bCs/>
                <w:color w:val="000000"/>
                <w:sz w:val="24"/>
                <w:szCs w:val="24"/>
              </w:rPr>
            </w:pPr>
            <w:r w:rsidRPr="00B37140">
              <w:rPr>
                <w:b/>
                <w:bCs/>
                <w:color w:val="000000"/>
                <w:sz w:val="24"/>
                <w:szCs w:val="24"/>
              </w:rPr>
              <w:t>Enlisted</w:t>
            </w:r>
          </w:p>
        </w:tc>
        <w:tc>
          <w:tcPr>
            <w:tcW w:w="1346" w:type="dxa"/>
            <w:tcBorders>
              <w:top w:val="single" w:sz="6" w:space="0" w:color="auto"/>
              <w:left w:val="single" w:sz="6" w:space="0" w:color="auto"/>
              <w:bottom w:val="single" w:sz="6" w:space="0" w:color="auto"/>
              <w:right w:val="single" w:sz="6" w:space="0" w:color="auto"/>
            </w:tcBorders>
            <w:shd w:val="clear" w:color="auto" w:fill="92D050"/>
          </w:tcPr>
          <w:p w:rsidR="00A325E4" w:rsidRPr="00B37140" w:rsidRDefault="00A325E4" w:rsidP="00B748B1">
            <w:pPr>
              <w:overflowPunct/>
              <w:ind w:left="450" w:hanging="450"/>
              <w:jc w:val="center"/>
              <w:textAlignment w:val="auto"/>
              <w:rPr>
                <w:b/>
                <w:bCs/>
                <w:color w:val="000000"/>
                <w:sz w:val="24"/>
                <w:szCs w:val="24"/>
              </w:rPr>
            </w:pPr>
            <w:r w:rsidRPr="00B37140">
              <w:rPr>
                <w:b/>
                <w:bCs/>
                <w:color w:val="000000"/>
                <w:sz w:val="24"/>
                <w:szCs w:val="24"/>
              </w:rPr>
              <w:t>Civilian</w:t>
            </w:r>
          </w:p>
        </w:tc>
      </w:tr>
      <w:tr w:rsidR="00A325E4" w:rsidRPr="00B37140" w:rsidTr="00B748B1">
        <w:trPr>
          <w:trHeight w:val="312"/>
        </w:trPr>
        <w:tc>
          <w:tcPr>
            <w:tcW w:w="2263" w:type="dxa"/>
            <w:tcBorders>
              <w:top w:val="single" w:sz="6" w:space="0" w:color="auto"/>
              <w:left w:val="single" w:sz="6" w:space="0" w:color="auto"/>
              <w:bottom w:val="single" w:sz="6" w:space="0" w:color="auto"/>
              <w:right w:val="single" w:sz="6" w:space="0" w:color="auto"/>
            </w:tcBorders>
          </w:tcPr>
          <w:p w:rsidR="00A325E4" w:rsidRPr="00B37140" w:rsidRDefault="00A325E4" w:rsidP="00B748B1">
            <w:pPr>
              <w:overflowPunct/>
              <w:ind w:left="450" w:hanging="450"/>
              <w:jc w:val="center"/>
              <w:textAlignment w:val="auto"/>
              <w:rPr>
                <w:color w:val="000000"/>
                <w:sz w:val="24"/>
                <w:szCs w:val="24"/>
              </w:rPr>
            </w:pPr>
            <w:r w:rsidRPr="00B37140">
              <w:rPr>
                <w:color w:val="000000"/>
                <w:sz w:val="24"/>
                <w:szCs w:val="24"/>
              </w:rPr>
              <w:t>U.S. Coast Guard</w:t>
            </w:r>
          </w:p>
        </w:tc>
        <w:tc>
          <w:tcPr>
            <w:tcW w:w="1899" w:type="dxa"/>
            <w:tcBorders>
              <w:top w:val="single" w:sz="6" w:space="0" w:color="auto"/>
              <w:left w:val="single" w:sz="6" w:space="0" w:color="auto"/>
              <w:bottom w:val="single" w:sz="6" w:space="0" w:color="auto"/>
              <w:right w:val="single" w:sz="6" w:space="0" w:color="auto"/>
            </w:tcBorders>
          </w:tcPr>
          <w:p w:rsidR="00A325E4" w:rsidRPr="00B37140" w:rsidRDefault="003D0CB2" w:rsidP="00B748B1">
            <w:pPr>
              <w:overflowPunct/>
              <w:ind w:left="450" w:hanging="450"/>
              <w:jc w:val="center"/>
              <w:textAlignment w:val="auto"/>
              <w:rPr>
                <w:color w:val="000000"/>
                <w:sz w:val="24"/>
                <w:szCs w:val="24"/>
              </w:rPr>
            </w:pPr>
            <w:r>
              <w:rPr>
                <w:color w:val="000000"/>
                <w:sz w:val="24"/>
                <w:szCs w:val="24"/>
              </w:rPr>
              <w:t>27</w:t>
            </w:r>
          </w:p>
        </w:tc>
        <w:tc>
          <w:tcPr>
            <w:tcW w:w="1821" w:type="dxa"/>
            <w:tcBorders>
              <w:top w:val="single" w:sz="6" w:space="0" w:color="auto"/>
              <w:left w:val="single" w:sz="6" w:space="0" w:color="auto"/>
              <w:bottom w:val="single" w:sz="6" w:space="0" w:color="auto"/>
              <w:right w:val="single" w:sz="6" w:space="0" w:color="auto"/>
            </w:tcBorders>
          </w:tcPr>
          <w:p w:rsidR="00A325E4" w:rsidRPr="00B37140" w:rsidRDefault="003D0CB2" w:rsidP="00B748B1">
            <w:pPr>
              <w:overflowPunct/>
              <w:ind w:left="450" w:hanging="450"/>
              <w:jc w:val="center"/>
              <w:textAlignment w:val="auto"/>
              <w:rPr>
                <w:color w:val="000000"/>
                <w:sz w:val="24"/>
                <w:szCs w:val="24"/>
              </w:rPr>
            </w:pPr>
            <w:r>
              <w:rPr>
                <w:color w:val="000000"/>
                <w:sz w:val="24"/>
                <w:szCs w:val="24"/>
              </w:rPr>
              <w:t>12</w:t>
            </w:r>
          </w:p>
        </w:tc>
        <w:tc>
          <w:tcPr>
            <w:tcW w:w="1347" w:type="dxa"/>
            <w:tcBorders>
              <w:top w:val="single" w:sz="6" w:space="0" w:color="auto"/>
              <w:left w:val="single" w:sz="6" w:space="0" w:color="auto"/>
              <w:bottom w:val="single" w:sz="6" w:space="0" w:color="auto"/>
              <w:right w:val="single" w:sz="6" w:space="0" w:color="auto"/>
            </w:tcBorders>
          </w:tcPr>
          <w:p w:rsidR="00A325E4" w:rsidRPr="00B37140" w:rsidRDefault="003D0CB2" w:rsidP="00B748B1">
            <w:pPr>
              <w:overflowPunct/>
              <w:ind w:left="450" w:hanging="450"/>
              <w:jc w:val="center"/>
              <w:textAlignment w:val="auto"/>
              <w:rPr>
                <w:color w:val="000000"/>
                <w:sz w:val="24"/>
                <w:szCs w:val="24"/>
              </w:rPr>
            </w:pPr>
            <w:r>
              <w:rPr>
                <w:color w:val="000000"/>
                <w:sz w:val="24"/>
                <w:szCs w:val="24"/>
              </w:rPr>
              <w:t>15</w:t>
            </w:r>
          </w:p>
        </w:tc>
        <w:tc>
          <w:tcPr>
            <w:tcW w:w="1346" w:type="dxa"/>
            <w:tcBorders>
              <w:top w:val="single" w:sz="6" w:space="0" w:color="auto"/>
              <w:left w:val="single" w:sz="6" w:space="0" w:color="auto"/>
              <w:bottom w:val="single" w:sz="6" w:space="0" w:color="auto"/>
              <w:right w:val="single" w:sz="6" w:space="0" w:color="auto"/>
            </w:tcBorders>
          </w:tcPr>
          <w:p w:rsidR="00A325E4" w:rsidRPr="00B37140" w:rsidRDefault="003D0CB2" w:rsidP="00B748B1">
            <w:pPr>
              <w:overflowPunct/>
              <w:ind w:left="450" w:hanging="450"/>
              <w:jc w:val="center"/>
              <w:textAlignment w:val="auto"/>
              <w:rPr>
                <w:color w:val="000000"/>
                <w:sz w:val="24"/>
                <w:szCs w:val="24"/>
              </w:rPr>
            </w:pPr>
            <w:r>
              <w:rPr>
                <w:color w:val="000000"/>
                <w:sz w:val="24"/>
                <w:szCs w:val="24"/>
              </w:rPr>
              <w:t>0</w:t>
            </w:r>
          </w:p>
        </w:tc>
      </w:tr>
      <w:tr w:rsidR="00A325E4" w:rsidRPr="00B37140" w:rsidTr="00B748B1">
        <w:trPr>
          <w:trHeight w:val="312"/>
        </w:trPr>
        <w:tc>
          <w:tcPr>
            <w:tcW w:w="2263" w:type="dxa"/>
            <w:tcBorders>
              <w:top w:val="single" w:sz="6" w:space="0" w:color="auto"/>
              <w:left w:val="single" w:sz="6" w:space="0" w:color="auto"/>
              <w:bottom w:val="single" w:sz="6" w:space="0" w:color="auto"/>
              <w:right w:val="single" w:sz="6" w:space="0" w:color="auto"/>
            </w:tcBorders>
            <w:shd w:val="solid" w:color="C0C0C0" w:fill="auto"/>
          </w:tcPr>
          <w:p w:rsidR="00A325E4" w:rsidRPr="00B37140" w:rsidRDefault="00A325E4" w:rsidP="00B748B1">
            <w:pPr>
              <w:overflowPunct/>
              <w:ind w:left="450" w:hanging="450"/>
              <w:jc w:val="center"/>
              <w:textAlignment w:val="auto"/>
              <w:rPr>
                <w:color w:val="000000"/>
                <w:sz w:val="24"/>
                <w:szCs w:val="24"/>
              </w:rPr>
            </w:pPr>
            <w:r w:rsidRPr="00B37140">
              <w:rPr>
                <w:color w:val="000000"/>
                <w:sz w:val="24"/>
                <w:szCs w:val="24"/>
              </w:rPr>
              <w:t>U.S. Navy</w:t>
            </w:r>
          </w:p>
        </w:tc>
        <w:tc>
          <w:tcPr>
            <w:tcW w:w="1899" w:type="dxa"/>
            <w:tcBorders>
              <w:top w:val="single" w:sz="6" w:space="0" w:color="auto"/>
              <w:left w:val="single" w:sz="6" w:space="0" w:color="auto"/>
              <w:bottom w:val="single" w:sz="6" w:space="0" w:color="auto"/>
              <w:right w:val="single" w:sz="6" w:space="0" w:color="auto"/>
            </w:tcBorders>
            <w:shd w:val="solid" w:color="C0C0C0" w:fill="auto"/>
          </w:tcPr>
          <w:p w:rsidR="00A325E4" w:rsidRPr="00B37140" w:rsidRDefault="00291963" w:rsidP="00B748B1">
            <w:pPr>
              <w:overflowPunct/>
              <w:ind w:left="450" w:hanging="450"/>
              <w:jc w:val="center"/>
              <w:textAlignment w:val="auto"/>
              <w:rPr>
                <w:color w:val="000000"/>
                <w:sz w:val="24"/>
                <w:szCs w:val="24"/>
              </w:rPr>
            </w:pPr>
            <w:r>
              <w:rPr>
                <w:color w:val="000000"/>
                <w:sz w:val="24"/>
                <w:szCs w:val="24"/>
              </w:rPr>
              <w:t>31</w:t>
            </w:r>
          </w:p>
        </w:tc>
        <w:tc>
          <w:tcPr>
            <w:tcW w:w="1821" w:type="dxa"/>
            <w:tcBorders>
              <w:top w:val="single" w:sz="6" w:space="0" w:color="auto"/>
              <w:left w:val="single" w:sz="6" w:space="0" w:color="auto"/>
              <w:bottom w:val="single" w:sz="6" w:space="0" w:color="auto"/>
              <w:right w:val="single" w:sz="6" w:space="0" w:color="auto"/>
            </w:tcBorders>
            <w:shd w:val="solid" w:color="C0C0C0" w:fill="auto"/>
          </w:tcPr>
          <w:p w:rsidR="00A325E4" w:rsidRPr="00B37140" w:rsidRDefault="00291963" w:rsidP="00B748B1">
            <w:pPr>
              <w:overflowPunct/>
              <w:ind w:left="450" w:hanging="450"/>
              <w:jc w:val="center"/>
              <w:textAlignment w:val="auto"/>
              <w:rPr>
                <w:color w:val="000000"/>
                <w:sz w:val="24"/>
                <w:szCs w:val="24"/>
              </w:rPr>
            </w:pPr>
            <w:r>
              <w:rPr>
                <w:color w:val="000000"/>
                <w:sz w:val="24"/>
                <w:szCs w:val="24"/>
              </w:rPr>
              <w:t>11</w:t>
            </w:r>
          </w:p>
        </w:tc>
        <w:tc>
          <w:tcPr>
            <w:tcW w:w="1347" w:type="dxa"/>
            <w:tcBorders>
              <w:top w:val="single" w:sz="6" w:space="0" w:color="auto"/>
              <w:left w:val="single" w:sz="6" w:space="0" w:color="auto"/>
              <w:bottom w:val="single" w:sz="6" w:space="0" w:color="auto"/>
              <w:right w:val="single" w:sz="6" w:space="0" w:color="auto"/>
            </w:tcBorders>
            <w:shd w:val="solid" w:color="C0C0C0" w:fill="auto"/>
          </w:tcPr>
          <w:p w:rsidR="00A325E4" w:rsidRPr="00B37140" w:rsidRDefault="00291963" w:rsidP="00B748B1">
            <w:pPr>
              <w:overflowPunct/>
              <w:ind w:left="450" w:hanging="450"/>
              <w:jc w:val="center"/>
              <w:textAlignment w:val="auto"/>
              <w:rPr>
                <w:color w:val="000000"/>
                <w:sz w:val="24"/>
                <w:szCs w:val="24"/>
              </w:rPr>
            </w:pPr>
            <w:r>
              <w:rPr>
                <w:color w:val="000000"/>
                <w:sz w:val="24"/>
                <w:szCs w:val="24"/>
              </w:rPr>
              <w:t>20</w:t>
            </w:r>
          </w:p>
        </w:tc>
        <w:tc>
          <w:tcPr>
            <w:tcW w:w="1346" w:type="dxa"/>
            <w:tcBorders>
              <w:top w:val="single" w:sz="6" w:space="0" w:color="auto"/>
              <w:left w:val="single" w:sz="6" w:space="0" w:color="auto"/>
              <w:bottom w:val="single" w:sz="6" w:space="0" w:color="auto"/>
              <w:right w:val="single" w:sz="6" w:space="0" w:color="auto"/>
            </w:tcBorders>
            <w:shd w:val="solid" w:color="C0C0C0" w:fill="auto"/>
          </w:tcPr>
          <w:p w:rsidR="00A325E4" w:rsidRPr="00B37140" w:rsidRDefault="003D0CB2" w:rsidP="00B748B1">
            <w:pPr>
              <w:overflowPunct/>
              <w:ind w:left="450" w:hanging="450"/>
              <w:jc w:val="center"/>
              <w:textAlignment w:val="auto"/>
              <w:rPr>
                <w:color w:val="000000"/>
                <w:sz w:val="24"/>
                <w:szCs w:val="24"/>
              </w:rPr>
            </w:pPr>
            <w:r>
              <w:rPr>
                <w:color w:val="000000"/>
                <w:sz w:val="24"/>
                <w:szCs w:val="24"/>
              </w:rPr>
              <w:t>6</w:t>
            </w:r>
          </w:p>
        </w:tc>
      </w:tr>
      <w:tr w:rsidR="00A325E4" w:rsidRPr="00B37140" w:rsidTr="00B748B1">
        <w:trPr>
          <w:trHeight w:val="312"/>
        </w:trPr>
        <w:tc>
          <w:tcPr>
            <w:tcW w:w="2263" w:type="dxa"/>
            <w:tcBorders>
              <w:top w:val="single" w:sz="6" w:space="0" w:color="auto"/>
              <w:left w:val="single" w:sz="6" w:space="0" w:color="auto"/>
              <w:bottom w:val="single" w:sz="6" w:space="0" w:color="auto"/>
              <w:right w:val="single" w:sz="6" w:space="0" w:color="auto"/>
            </w:tcBorders>
          </w:tcPr>
          <w:p w:rsidR="00A325E4" w:rsidRPr="00B37140" w:rsidRDefault="00A325E4" w:rsidP="00B748B1">
            <w:pPr>
              <w:overflowPunct/>
              <w:ind w:left="450" w:hanging="450"/>
              <w:jc w:val="center"/>
              <w:textAlignment w:val="auto"/>
              <w:rPr>
                <w:color w:val="000000"/>
                <w:sz w:val="24"/>
                <w:szCs w:val="24"/>
              </w:rPr>
            </w:pPr>
            <w:r w:rsidRPr="00B37140">
              <w:rPr>
                <w:color w:val="000000"/>
                <w:sz w:val="24"/>
                <w:szCs w:val="24"/>
              </w:rPr>
              <w:t>U.S. Marines</w:t>
            </w:r>
          </w:p>
        </w:tc>
        <w:tc>
          <w:tcPr>
            <w:tcW w:w="1899" w:type="dxa"/>
            <w:tcBorders>
              <w:top w:val="single" w:sz="6" w:space="0" w:color="auto"/>
              <w:left w:val="single" w:sz="6" w:space="0" w:color="auto"/>
              <w:bottom w:val="single" w:sz="6" w:space="0" w:color="auto"/>
              <w:right w:val="single" w:sz="6" w:space="0" w:color="auto"/>
            </w:tcBorders>
          </w:tcPr>
          <w:p w:rsidR="00A325E4" w:rsidRPr="00B37140" w:rsidRDefault="00A325E4" w:rsidP="00B748B1">
            <w:pPr>
              <w:overflowPunct/>
              <w:ind w:left="450" w:hanging="450"/>
              <w:jc w:val="center"/>
              <w:textAlignment w:val="auto"/>
              <w:rPr>
                <w:color w:val="000000"/>
                <w:sz w:val="24"/>
                <w:szCs w:val="24"/>
              </w:rPr>
            </w:pPr>
            <w:r w:rsidRPr="00B37140">
              <w:rPr>
                <w:color w:val="000000"/>
                <w:sz w:val="24"/>
                <w:szCs w:val="24"/>
              </w:rPr>
              <w:t>16</w:t>
            </w:r>
          </w:p>
        </w:tc>
        <w:tc>
          <w:tcPr>
            <w:tcW w:w="1821" w:type="dxa"/>
            <w:tcBorders>
              <w:top w:val="single" w:sz="6" w:space="0" w:color="auto"/>
              <w:left w:val="single" w:sz="6" w:space="0" w:color="auto"/>
              <w:bottom w:val="single" w:sz="6" w:space="0" w:color="auto"/>
              <w:right w:val="single" w:sz="6" w:space="0" w:color="auto"/>
            </w:tcBorders>
          </w:tcPr>
          <w:p w:rsidR="00A325E4" w:rsidRPr="00B37140" w:rsidRDefault="00A325E4" w:rsidP="00B748B1">
            <w:pPr>
              <w:overflowPunct/>
              <w:ind w:left="450" w:hanging="450"/>
              <w:jc w:val="center"/>
              <w:textAlignment w:val="auto"/>
              <w:rPr>
                <w:color w:val="000000"/>
                <w:sz w:val="24"/>
                <w:szCs w:val="24"/>
              </w:rPr>
            </w:pPr>
            <w:r w:rsidRPr="00B37140">
              <w:rPr>
                <w:color w:val="000000"/>
                <w:sz w:val="24"/>
                <w:szCs w:val="24"/>
              </w:rPr>
              <w:t>13</w:t>
            </w:r>
          </w:p>
        </w:tc>
        <w:tc>
          <w:tcPr>
            <w:tcW w:w="1347" w:type="dxa"/>
            <w:tcBorders>
              <w:top w:val="single" w:sz="6" w:space="0" w:color="auto"/>
              <w:left w:val="single" w:sz="6" w:space="0" w:color="auto"/>
              <w:bottom w:val="single" w:sz="6" w:space="0" w:color="auto"/>
              <w:right w:val="single" w:sz="6" w:space="0" w:color="auto"/>
            </w:tcBorders>
          </w:tcPr>
          <w:p w:rsidR="00A325E4" w:rsidRPr="00B37140" w:rsidRDefault="00291963" w:rsidP="00B748B1">
            <w:pPr>
              <w:overflowPunct/>
              <w:ind w:left="450" w:hanging="450"/>
              <w:jc w:val="center"/>
              <w:textAlignment w:val="auto"/>
              <w:rPr>
                <w:color w:val="000000"/>
                <w:sz w:val="24"/>
                <w:szCs w:val="24"/>
              </w:rPr>
            </w:pPr>
            <w:r>
              <w:rPr>
                <w:color w:val="000000"/>
                <w:sz w:val="24"/>
                <w:szCs w:val="24"/>
              </w:rPr>
              <w:t>0</w:t>
            </w:r>
            <w:r w:rsidR="00A325E4" w:rsidRPr="00B37140">
              <w:rPr>
                <w:color w:val="000000"/>
                <w:sz w:val="24"/>
                <w:szCs w:val="24"/>
              </w:rPr>
              <w:t>3</w:t>
            </w:r>
          </w:p>
        </w:tc>
        <w:tc>
          <w:tcPr>
            <w:tcW w:w="1346" w:type="dxa"/>
            <w:tcBorders>
              <w:top w:val="single" w:sz="6" w:space="0" w:color="auto"/>
              <w:left w:val="single" w:sz="6" w:space="0" w:color="auto"/>
              <w:bottom w:val="single" w:sz="6" w:space="0" w:color="auto"/>
              <w:right w:val="single" w:sz="6" w:space="0" w:color="auto"/>
            </w:tcBorders>
          </w:tcPr>
          <w:p w:rsidR="00A325E4" w:rsidRPr="00B37140" w:rsidRDefault="00A325E4" w:rsidP="00B748B1">
            <w:pPr>
              <w:overflowPunct/>
              <w:ind w:left="450" w:hanging="450"/>
              <w:jc w:val="center"/>
              <w:textAlignment w:val="auto"/>
              <w:rPr>
                <w:color w:val="000000"/>
                <w:sz w:val="24"/>
                <w:szCs w:val="24"/>
              </w:rPr>
            </w:pPr>
            <w:r w:rsidRPr="00B37140">
              <w:rPr>
                <w:color w:val="000000"/>
                <w:sz w:val="24"/>
                <w:szCs w:val="24"/>
              </w:rPr>
              <w:t>0</w:t>
            </w:r>
          </w:p>
        </w:tc>
      </w:tr>
      <w:tr w:rsidR="00A325E4" w:rsidRPr="00B37140" w:rsidTr="00B748B1">
        <w:trPr>
          <w:trHeight w:val="312"/>
        </w:trPr>
        <w:tc>
          <w:tcPr>
            <w:tcW w:w="2263" w:type="dxa"/>
            <w:tcBorders>
              <w:top w:val="single" w:sz="6" w:space="0" w:color="auto"/>
              <w:left w:val="single" w:sz="6" w:space="0" w:color="auto"/>
              <w:bottom w:val="single" w:sz="6" w:space="0" w:color="auto"/>
              <w:right w:val="single" w:sz="6" w:space="0" w:color="auto"/>
            </w:tcBorders>
            <w:shd w:val="solid" w:color="C0C0C0" w:fill="auto"/>
          </w:tcPr>
          <w:p w:rsidR="00B748B1" w:rsidRDefault="00A325E4" w:rsidP="00B748B1">
            <w:pPr>
              <w:overflowPunct/>
              <w:ind w:left="450" w:hanging="450"/>
              <w:jc w:val="center"/>
              <w:textAlignment w:val="auto"/>
              <w:rPr>
                <w:color w:val="000000"/>
              </w:rPr>
            </w:pPr>
            <w:r w:rsidRPr="00B748B1">
              <w:rPr>
                <w:color w:val="000000"/>
              </w:rPr>
              <w:t xml:space="preserve">Federal Voting </w:t>
            </w:r>
            <w:r w:rsidR="00B748B1" w:rsidRPr="00B748B1">
              <w:rPr>
                <w:color w:val="000000"/>
              </w:rPr>
              <w:t>A</w:t>
            </w:r>
            <w:r w:rsidRPr="00B748B1">
              <w:rPr>
                <w:color w:val="000000"/>
              </w:rPr>
              <w:t xml:space="preserve">ssistance </w:t>
            </w:r>
          </w:p>
          <w:p w:rsidR="00A325E4" w:rsidRPr="00B748B1" w:rsidRDefault="00A325E4" w:rsidP="00B748B1">
            <w:pPr>
              <w:overflowPunct/>
              <w:ind w:left="450" w:hanging="450"/>
              <w:jc w:val="center"/>
              <w:textAlignment w:val="auto"/>
              <w:rPr>
                <w:color w:val="000000"/>
              </w:rPr>
            </w:pPr>
            <w:r w:rsidRPr="00B748B1">
              <w:rPr>
                <w:color w:val="000000"/>
              </w:rPr>
              <w:t>Program</w:t>
            </w:r>
          </w:p>
        </w:tc>
        <w:tc>
          <w:tcPr>
            <w:tcW w:w="1899" w:type="dxa"/>
            <w:tcBorders>
              <w:top w:val="single" w:sz="6" w:space="0" w:color="auto"/>
              <w:left w:val="single" w:sz="6" w:space="0" w:color="auto"/>
              <w:bottom w:val="single" w:sz="6" w:space="0" w:color="auto"/>
              <w:right w:val="single" w:sz="6" w:space="0" w:color="auto"/>
            </w:tcBorders>
            <w:shd w:val="solid" w:color="C0C0C0" w:fill="auto"/>
          </w:tcPr>
          <w:p w:rsidR="00A325E4" w:rsidRPr="00B37140" w:rsidRDefault="003D0CB2" w:rsidP="00B748B1">
            <w:pPr>
              <w:overflowPunct/>
              <w:ind w:left="450" w:hanging="450"/>
              <w:jc w:val="center"/>
              <w:textAlignment w:val="auto"/>
              <w:rPr>
                <w:color w:val="000000"/>
                <w:sz w:val="24"/>
                <w:szCs w:val="24"/>
              </w:rPr>
            </w:pPr>
            <w:r>
              <w:rPr>
                <w:color w:val="000000"/>
                <w:sz w:val="24"/>
                <w:szCs w:val="24"/>
              </w:rPr>
              <w:t>0</w:t>
            </w:r>
          </w:p>
        </w:tc>
        <w:tc>
          <w:tcPr>
            <w:tcW w:w="1821" w:type="dxa"/>
            <w:tcBorders>
              <w:top w:val="single" w:sz="6" w:space="0" w:color="auto"/>
              <w:left w:val="single" w:sz="6" w:space="0" w:color="auto"/>
              <w:bottom w:val="single" w:sz="6" w:space="0" w:color="auto"/>
              <w:right w:val="single" w:sz="6" w:space="0" w:color="auto"/>
            </w:tcBorders>
            <w:shd w:val="solid" w:color="C0C0C0" w:fill="auto"/>
          </w:tcPr>
          <w:p w:rsidR="00A325E4" w:rsidRPr="00B37140" w:rsidRDefault="00A325E4" w:rsidP="00B748B1">
            <w:pPr>
              <w:overflowPunct/>
              <w:ind w:left="450" w:hanging="450"/>
              <w:jc w:val="center"/>
              <w:textAlignment w:val="auto"/>
              <w:rPr>
                <w:color w:val="000000"/>
                <w:sz w:val="24"/>
                <w:szCs w:val="24"/>
              </w:rPr>
            </w:pPr>
            <w:r w:rsidRPr="00B37140">
              <w:rPr>
                <w:color w:val="000000"/>
                <w:sz w:val="24"/>
                <w:szCs w:val="24"/>
              </w:rPr>
              <w:t>0</w:t>
            </w:r>
          </w:p>
        </w:tc>
        <w:tc>
          <w:tcPr>
            <w:tcW w:w="1347" w:type="dxa"/>
            <w:tcBorders>
              <w:top w:val="single" w:sz="6" w:space="0" w:color="auto"/>
              <w:left w:val="single" w:sz="6" w:space="0" w:color="auto"/>
              <w:bottom w:val="single" w:sz="6" w:space="0" w:color="auto"/>
              <w:right w:val="single" w:sz="6" w:space="0" w:color="auto"/>
            </w:tcBorders>
            <w:shd w:val="solid" w:color="C0C0C0" w:fill="auto"/>
          </w:tcPr>
          <w:p w:rsidR="00A325E4" w:rsidRPr="00B37140" w:rsidRDefault="00A325E4" w:rsidP="00B748B1">
            <w:pPr>
              <w:overflowPunct/>
              <w:ind w:left="450" w:hanging="450"/>
              <w:jc w:val="center"/>
              <w:textAlignment w:val="auto"/>
              <w:rPr>
                <w:color w:val="000000"/>
                <w:sz w:val="24"/>
                <w:szCs w:val="24"/>
              </w:rPr>
            </w:pPr>
            <w:r w:rsidRPr="00B37140">
              <w:rPr>
                <w:color w:val="000000"/>
                <w:sz w:val="24"/>
                <w:szCs w:val="24"/>
              </w:rPr>
              <w:t>0</w:t>
            </w:r>
          </w:p>
        </w:tc>
        <w:tc>
          <w:tcPr>
            <w:tcW w:w="1346" w:type="dxa"/>
            <w:tcBorders>
              <w:top w:val="single" w:sz="6" w:space="0" w:color="auto"/>
              <w:left w:val="single" w:sz="6" w:space="0" w:color="auto"/>
              <w:bottom w:val="single" w:sz="6" w:space="0" w:color="auto"/>
              <w:right w:val="single" w:sz="6" w:space="0" w:color="auto"/>
            </w:tcBorders>
            <w:shd w:val="solid" w:color="C0C0C0" w:fill="auto"/>
          </w:tcPr>
          <w:p w:rsidR="00A325E4" w:rsidRPr="00B37140" w:rsidRDefault="003D0CB2" w:rsidP="00B748B1">
            <w:pPr>
              <w:overflowPunct/>
              <w:ind w:left="450" w:hanging="450"/>
              <w:jc w:val="center"/>
              <w:textAlignment w:val="auto"/>
              <w:rPr>
                <w:color w:val="000000"/>
                <w:sz w:val="24"/>
                <w:szCs w:val="24"/>
              </w:rPr>
            </w:pPr>
            <w:r>
              <w:rPr>
                <w:color w:val="000000"/>
                <w:sz w:val="24"/>
                <w:szCs w:val="24"/>
              </w:rPr>
              <w:t>0</w:t>
            </w:r>
          </w:p>
        </w:tc>
      </w:tr>
      <w:tr w:rsidR="005706A0" w:rsidRPr="00B37140" w:rsidTr="00B748B1">
        <w:trPr>
          <w:trHeight w:val="312"/>
        </w:trPr>
        <w:tc>
          <w:tcPr>
            <w:tcW w:w="2263" w:type="dxa"/>
            <w:tcBorders>
              <w:top w:val="single" w:sz="6" w:space="0" w:color="auto"/>
              <w:left w:val="single" w:sz="6" w:space="0" w:color="auto"/>
              <w:bottom w:val="single" w:sz="6" w:space="0" w:color="auto"/>
              <w:right w:val="single" w:sz="6" w:space="0" w:color="auto"/>
            </w:tcBorders>
            <w:shd w:val="solid" w:color="C0C0C0" w:fill="auto"/>
          </w:tcPr>
          <w:p w:rsidR="005706A0" w:rsidRPr="00B37140" w:rsidRDefault="005706A0" w:rsidP="00B748B1">
            <w:pPr>
              <w:overflowPunct/>
              <w:ind w:left="450" w:hanging="450"/>
              <w:jc w:val="center"/>
              <w:textAlignment w:val="auto"/>
              <w:rPr>
                <w:b/>
                <w:color w:val="FF0000"/>
                <w:sz w:val="24"/>
                <w:szCs w:val="24"/>
              </w:rPr>
            </w:pPr>
            <w:r w:rsidRPr="00B37140">
              <w:rPr>
                <w:b/>
                <w:color w:val="FF0000"/>
                <w:sz w:val="24"/>
                <w:szCs w:val="24"/>
              </w:rPr>
              <w:t>Totals</w:t>
            </w:r>
          </w:p>
        </w:tc>
        <w:tc>
          <w:tcPr>
            <w:tcW w:w="1899" w:type="dxa"/>
            <w:tcBorders>
              <w:top w:val="single" w:sz="6" w:space="0" w:color="auto"/>
              <w:left w:val="single" w:sz="6" w:space="0" w:color="auto"/>
              <w:bottom w:val="single" w:sz="6" w:space="0" w:color="auto"/>
              <w:right w:val="single" w:sz="6" w:space="0" w:color="auto"/>
            </w:tcBorders>
            <w:shd w:val="solid" w:color="C0C0C0" w:fill="auto"/>
          </w:tcPr>
          <w:p w:rsidR="005706A0" w:rsidRPr="00B37140" w:rsidRDefault="00291963" w:rsidP="00B748B1">
            <w:pPr>
              <w:overflowPunct/>
              <w:ind w:left="450" w:hanging="450"/>
              <w:jc w:val="center"/>
              <w:textAlignment w:val="auto"/>
              <w:rPr>
                <w:b/>
                <w:color w:val="FF0000"/>
                <w:sz w:val="24"/>
                <w:szCs w:val="24"/>
              </w:rPr>
            </w:pPr>
            <w:r>
              <w:rPr>
                <w:b/>
                <w:color w:val="FF0000"/>
                <w:sz w:val="24"/>
                <w:szCs w:val="24"/>
              </w:rPr>
              <w:t>74</w:t>
            </w:r>
          </w:p>
        </w:tc>
        <w:tc>
          <w:tcPr>
            <w:tcW w:w="1821" w:type="dxa"/>
            <w:tcBorders>
              <w:top w:val="single" w:sz="6" w:space="0" w:color="auto"/>
              <w:left w:val="single" w:sz="6" w:space="0" w:color="auto"/>
              <w:bottom w:val="single" w:sz="6" w:space="0" w:color="auto"/>
              <w:right w:val="single" w:sz="6" w:space="0" w:color="auto"/>
            </w:tcBorders>
            <w:shd w:val="solid" w:color="C0C0C0" w:fill="auto"/>
          </w:tcPr>
          <w:p w:rsidR="005706A0" w:rsidRPr="00B37140" w:rsidRDefault="00291963" w:rsidP="00B748B1">
            <w:pPr>
              <w:overflowPunct/>
              <w:ind w:left="450" w:hanging="450"/>
              <w:jc w:val="center"/>
              <w:textAlignment w:val="auto"/>
              <w:rPr>
                <w:b/>
                <w:color w:val="FF0000"/>
                <w:sz w:val="24"/>
                <w:szCs w:val="24"/>
              </w:rPr>
            </w:pPr>
            <w:r>
              <w:rPr>
                <w:b/>
                <w:color w:val="FF0000"/>
                <w:sz w:val="24"/>
                <w:szCs w:val="24"/>
              </w:rPr>
              <w:t>36</w:t>
            </w:r>
          </w:p>
        </w:tc>
        <w:tc>
          <w:tcPr>
            <w:tcW w:w="1347" w:type="dxa"/>
            <w:tcBorders>
              <w:top w:val="single" w:sz="6" w:space="0" w:color="auto"/>
              <w:left w:val="single" w:sz="6" w:space="0" w:color="auto"/>
              <w:bottom w:val="single" w:sz="6" w:space="0" w:color="auto"/>
              <w:right w:val="single" w:sz="6" w:space="0" w:color="auto"/>
            </w:tcBorders>
            <w:shd w:val="solid" w:color="C0C0C0" w:fill="auto"/>
          </w:tcPr>
          <w:p w:rsidR="005706A0" w:rsidRPr="00B37140" w:rsidRDefault="00291963" w:rsidP="00B748B1">
            <w:pPr>
              <w:overflowPunct/>
              <w:ind w:left="450" w:hanging="450"/>
              <w:jc w:val="center"/>
              <w:textAlignment w:val="auto"/>
              <w:rPr>
                <w:b/>
                <w:color w:val="FF0000"/>
                <w:sz w:val="24"/>
                <w:szCs w:val="24"/>
              </w:rPr>
            </w:pPr>
            <w:r>
              <w:rPr>
                <w:b/>
                <w:color w:val="FF0000"/>
                <w:sz w:val="24"/>
                <w:szCs w:val="24"/>
              </w:rPr>
              <w:t>38</w:t>
            </w:r>
          </w:p>
        </w:tc>
        <w:tc>
          <w:tcPr>
            <w:tcW w:w="1346" w:type="dxa"/>
            <w:tcBorders>
              <w:top w:val="single" w:sz="6" w:space="0" w:color="auto"/>
              <w:left w:val="single" w:sz="6" w:space="0" w:color="auto"/>
              <w:bottom w:val="single" w:sz="6" w:space="0" w:color="auto"/>
              <w:right w:val="single" w:sz="6" w:space="0" w:color="auto"/>
            </w:tcBorders>
            <w:shd w:val="solid" w:color="C0C0C0" w:fill="auto"/>
          </w:tcPr>
          <w:p w:rsidR="005706A0" w:rsidRPr="00B37140" w:rsidRDefault="00447432" w:rsidP="00B748B1">
            <w:pPr>
              <w:overflowPunct/>
              <w:ind w:left="450" w:hanging="450"/>
              <w:jc w:val="center"/>
              <w:textAlignment w:val="auto"/>
              <w:rPr>
                <w:b/>
                <w:color w:val="FF0000"/>
                <w:sz w:val="24"/>
                <w:szCs w:val="24"/>
              </w:rPr>
            </w:pPr>
            <w:r>
              <w:rPr>
                <w:b/>
                <w:color w:val="FF0000"/>
                <w:sz w:val="24"/>
                <w:szCs w:val="24"/>
              </w:rPr>
              <w:t>6</w:t>
            </w:r>
          </w:p>
        </w:tc>
      </w:tr>
    </w:tbl>
    <w:p w:rsidR="00A325E4" w:rsidRPr="00B37140" w:rsidRDefault="00A325E4" w:rsidP="00B748B1">
      <w:pPr>
        <w:ind w:left="450" w:hanging="450"/>
        <w:rPr>
          <w:sz w:val="24"/>
          <w:szCs w:val="24"/>
        </w:rPr>
      </w:pPr>
    </w:p>
    <w:p w:rsidR="00A325E4" w:rsidRDefault="00C340B2" w:rsidP="00B748B1">
      <w:pPr>
        <w:pStyle w:val="ListParagraph"/>
        <w:numPr>
          <w:ilvl w:val="0"/>
          <w:numId w:val="1"/>
        </w:numPr>
        <w:ind w:left="450" w:hanging="450"/>
        <w:rPr>
          <w:sz w:val="24"/>
          <w:szCs w:val="24"/>
        </w:rPr>
      </w:pPr>
      <w:r w:rsidRPr="00B37140">
        <w:rPr>
          <w:sz w:val="24"/>
          <w:szCs w:val="24"/>
        </w:rPr>
        <w:t>Review of the agenda:</w:t>
      </w:r>
    </w:p>
    <w:p w:rsidR="00447432" w:rsidRPr="00CB3E8D" w:rsidRDefault="00447432" w:rsidP="00CB3E8D">
      <w:pPr>
        <w:pStyle w:val="ListParagraph"/>
        <w:numPr>
          <w:ilvl w:val="1"/>
          <w:numId w:val="1"/>
        </w:numPr>
        <w:ind w:left="1350" w:hanging="450"/>
        <w:rPr>
          <w:sz w:val="24"/>
          <w:szCs w:val="24"/>
        </w:rPr>
      </w:pPr>
      <w:r w:rsidRPr="00447432">
        <w:rPr>
          <w:sz w:val="24"/>
          <w:szCs w:val="24"/>
        </w:rPr>
        <w:t xml:space="preserve">On </w:t>
      </w:r>
      <w:r w:rsidR="00CB3E8D">
        <w:rPr>
          <w:sz w:val="24"/>
          <w:szCs w:val="24"/>
        </w:rPr>
        <w:t xml:space="preserve">19 </w:t>
      </w:r>
      <w:r w:rsidRPr="00447432">
        <w:rPr>
          <w:sz w:val="24"/>
          <w:szCs w:val="24"/>
        </w:rPr>
        <w:t xml:space="preserve">May 2016 </w:t>
      </w:r>
      <w:r w:rsidR="00CB3E8D">
        <w:rPr>
          <w:sz w:val="24"/>
          <w:szCs w:val="24"/>
        </w:rPr>
        <w:t>m</w:t>
      </w:r>
      <w:r w:rsidRPr="00447432">
        <w:rPr>
          <w:sz w:val="24"/>
          <w:szCs w:val="24"/>
        </w:rPr>
        <w:t>ilitary service members gathered to participate in the 2016 ANSO Western Region Sym</w:t>
      </w:r>
      <w:r w:rsidR="00CB3E8D">
        <w:rPr>
          <w:sz w:val="24"/>
          <w:szCs w:val="24"/>
        </w:rPr>
        <w:t>posium.  This year’s theme was “</w:t>
      </w:r>
      <w:r w:rsidRPr="00447432">
        <w:rPr>
          <w:sz w:val="24"/>
          <w:szCs w:val="24"/>
        </w:rPr>
        <w:t>Mentoring and Career Management to Grow Our Future Leaders</w:t>
      </w:r>
      <w:r w:rsidR="00CB3E8D">
        <w:rPr>
          <w:sz w:val="24"/>
          <w:szCs w:val="24"/>
        </w:rPr>
        <w:t>.</w:t>
      </w:r>
      <w:r w:rsidRPr="00447432">
        <w:rPr>
          <w:sz w:val="24"/>
          <w:szCs w:val="24"/>
        </w:rPr>
        <w:t xml:space="preserve">”  Each of the presenters had a unique standpoint as they spoke of their personal experiences and the impact that others have had on their lives.  </w:t>
      </w:r>
      <w:r w:rsidRPr="00CB3E8D">
        <w:rPr>
          <w:sz w:val="24"/>
          <w:szCs w:val="24"/>
        </w:rPr>
        <w:t>LCDR Henry A Martinez II</w:t>
      </w:r>
      <w:r w:rsidR="00CB3E8D">
        <w:rPr>
          <w:sz w:val="24"/>
          <w:szCs w:val="24"/>
        </w:rPr>
        <w:t xml:space="preserve"> USN,</w:t>
      </w:r>
      <w:r w:rsidRPr="00CB3E8D">
        <w:rPr>
          <w:sz w:val="24"/>
          <w:szCs w:val="24"/>
        </w:rPr>
        <w:t xml:space="preserve"> ANSO Western Region Vice President</w:t>
      </w:r>
      <w:r w:rsidR="00CB3E8D">
        <w:rPr>
          <w:sz w:val="24"/>
          <w:szCs w:val="24"/>
        </w:rPr>
        <w:t>,</w:t>
      </w:r>
      <w:r w:rsidRPr="00CB3E8D">
        <w:rPr>
          <w:sz w:val="24"/>
          <w:szCs w:val="24"/>
        </w:rPr>
        <w:t xml:space="preserve"> emceed the event.  </w:t>
      </w:r>
      <w:r w:rsidR="00CB3E8D">
        <w:rPr>
          <w:sz w:val="24"/>
          <w:szCs w:val="24"/>
        </w:rPr>
        <w:t xml:space="preserve">Rear </w:t>
      </w:r>
      <w:r w:rsidRPr="00CB3E8D">
        <w:rPr>
          <w:sz w:val="24"/>
          <w:szCs w:val="24"/>
        </w:rPr>
        <w:t xml:space="preserve">Admiral Will Rodriguez USN </w:t>
      </w:r>
      <w:r w:rsidR="00CB3E8D">
        <w:rPr>
          <w:sz w:val="24"/>
          <w:szCs w:val="24"/>
        </w:rPr>
        <w:t xml:space="preserve">(ret) </w:t>
      </w:r>
      <w:r w:rsidRPr="00CB3E8D">
        <w:rPr>
          <w:sz w:val="24"/>
          <w:szCs w:val="24"/>
        </w:rPr>
        <w:t xml:space="preserve">provided a great “State of ANSO” report.  </w:t>
      </w:r>
    </w:p>
    <w:p w:rsidR="00447432" w:rsidRPr="00447432" w:rsidRDefault="00447432" w:rsidP="00CB3E8D">
      <w:pPr>
        <w:pStyle w:val="ListParagraph"/>
        <w:numPr>
          <w:ilvl w:val="1"/>
          <w:numId w:val="1"/>
        </w:numPr>
        <w:rPr>
          <w:sz w:val="24"/>
          <w:szCs w:val="24"/>
        </w:rPr>
      </w:pPr>
      <w:r w:rsidRPr="00447432">
        <w:rPr>
          <w:sz w:val="24"/>
          <w:szCs w:val="24"/>
        </w:rPr>
        <w:lastRenderedPageBreak/>
        <w:t>Mr. Alex Montoya spoke about the importance of facing their fears, taking risks, persevering in tough times, embracing change and the necessity of a good team.  In addition to his speech</w:t>
      </w:r>
      <w:r w:rsidR="00CB3E8D">
        <w:rPr>
          <w:sz w:val="24"/>
          <w:szCs w:val="24"/>
        </w:rPr>
        <w:t>, he</w:t>
      </w:r>
      <w:r w:rsidRPr="00447432">
        <w:rPr>
          <w:sz w:val="24"/>
          <w:szCs w:val="24"/>
        </w:rPr>
        <w:t xml:space="preserve"> talked about issues pertaining to success, education, and overcoming disability obstacles.  </w:t>
      </w:r>
    </w:p>
    <w:p w:rsidR="00447432" w:rsidRPr="00447432" w:rsidRDefault="00447432" w:rsidP="00CB3E8D">
      <w:pPr>
        <w:pStyle w:val="ListParagraph"/>
        <w:numPr>
          <w:ilvl w:val="1"/>
          <w:numId w:val="1"/>
        </w:numPr>
        <w:rPr>
          <w:sz w:val="24"/>
          <w:szCs w:val="24"/>
        </w:rPr>
      </w:pPr>
      <w:r w:rsidRPr="00447432">
        <w:rPr>
          <w:sz w:val="24"/>
          <w:szCs w:val="24"/>
        </w:rPr>
        <w:t>Mr. Fred Sotelo, C</w:t>
      </w:r>
      <w:r w:rsidR="00CB3E8D">
        <w:rPr>
          <w:sz w:val="24"/>
          <w:szCs w:val="24"/>
        </w:rPr>
        <w:t xml:space="preserve">hief </w:t>
      </w:r>
      <w:r w:rsidRPr="00447432">
        <w:rPr>
          <w:sz w:val="24"/>
          <w:szCs w:val="24"/>
        </w:rPr>
        <w:t>O</w:t>
      </w:r>
      <w:r w:rsidR="00CB3E8D">
        <w:rPr>
          <w:sz w:val="24"/>
          <w:szCs w:val="24"/>
        </w:rPr>
        <w:t xml:space="preserve">perating </w:t>
      </w:r>
      <w:r w:rsidRPr="00447432">
        <w:rPr>
          <w:sz w:val="24"/>
          <w:szCs w:val="24"/>
        </w:rPr>
        <w:t>O</w:t>
      </w:r>
      <w:r w:rsidR="00CB3E8D">
        <w:rPr>
          <w:sz w:val="24"/>
          <w:szCs w:val="24"/>
        </w:rPr>
        <w:t xml:space="preserve">fficer of </w:t>
      </w:r>
      <w:r w:rsidRPr="00447432">
        <w:rPr>
          <w:sz w:val="24"/>
          <w:szCs w:val="24"/>
        </w:rPr>
        <w:t>Global Source Energy spoke about being a proud Latino and how his family served his country during the Vietnam era.  He explained how his Latino family came from places that have long valued a tradition of military service and what inspired him to be successful.  In addition, he explained more about how Latinos have viewed military service as a route toward meaningful inclusion within a society that in years past had a hard time viewing them as real Am</w:t>
      </w:r>
      <w:r w:rsidR="00CB3E8D">
        <w:rPr>
          <w:sz w:val="24"/>
          <w:szCs w:val="24"/>
        </w:rPr>
        <w:t xml:space="preserve">ericans.  Today, </w:t>
      </w:r>
      <w:r w:rsidRPr="00447432">
        <w:rPr>
          <w:sz w:val="24"/>
          <w:szCs w:val="24"/>
        </w:rPr>
        <w:t>their long and commendable record of military service also stands as a powerful response to critics concerned about high rates of Latino immigration and supposedly low rates of Latino assimilation. In the end, a tradition of focusing upon military service as a means of furthering a more just society for all endures because it is founded on an essential truth about Latinos in the military: as immigrants and as citi</w:t>
      </w:r>
      <w:r w:rsidR="00CB3E8D">
        <w:rPr>
          <w:sz w:val="24"/>
          <w:szCs w:val="24"/>
        </w:rPr>
        <w:t>zens, Latinos have served the U</w:t>
      </w:r>
      <w:r w:rsidRPr="00447432">
        <w:rPr>
          <w:sz w:val="24"/>
          <w:szCs w:val="24"/>
        </w:rPr>
        <w:t>S military proudly for generations and continue to do so today.</w:t>
      </w:r>
    </w:p>
    <w:p w:rsidR="00447432" w:rsidRPr="00447432" w:rsidRDefault="00447432" w:rsidP="00CB3E8D">
      <w:pPr>
        <w:pStyle w:val="ListParagraph"/>
        <w:numPr>
          <w:ilvl w:val="1"/>
          <w:numId w:val="1"/>
        </w:numPr>
        <w:rPr>
          <w:sz w:val="24"/>
          <w:szCs w:val="24"/>
        </w:rPr>
      </w:pPr>
      <w:r w:rsidRPr="00447432">
        <w:rPr>
          <w:sz w:val="24"/>
          <w:szCs w:val="24"/>
        </w:rPr>
        <w:t xml:space="preserve">The Diversity Panel, which consisted of </w:t>
      </w:r>
      <w:r w:rsidR="00CB3E8D">
        <w:rPr>
          <w:sz w:val="24"/>
          <w:szCs w:val="24"/>
        </w:rPr>
        <w:t>s</w:t>
      </w:r>
      <w:r w:rsidRPr="00447432">
        <w:rPr>
          <w:sz w:val="24"/>
          <w:szCs w:val="24"/>
        </w:rPr>
        <w:t xml:space="preserve">enior </w:t>
      </w:r>
      <w:r w:rsidR="00CB3E8D">
        <w:rPr>
          <w:sz w:val="24"/>
          <w:szCs w:val="24"/>
        </w:rPr>
        <w:t>o</w:t>
      </w:r>
      <w:r w:rsidRPr="00447432">
        <w:rPr>
          <w:sz w:val="24"/>
          <w:szCs w:val="24"/>
        </w:rPr>
        <w:t>fficers</w:t>
      </w:r>
      <w:r w:rsidR="00AB43AD">
        <w:rPr>
          <w:sz w:val="24"/>
          <w:szCs w:val="24"/>
        </w:rPr>
        <w:t xml:space="preserve"> and</w:t>
      </w:r>
      <w:r w:rsidRPr="00447432">
        <w:rPr>
          <w:sz w:val="24"/>
          <w:szCs w:val="24"/>
        </w:rPr>
        <w:t xml:space="preserve"> </w:t>
      </w:r>
      <w:r w:rsidR="00CB3E8D">
        <w:rPr>
          <w:sz w:val="24"/>
          <w:szCs w:val="24"/>
        </w:rPr>
        <w:t>s</w:t>
      </w:r>
      <w:r w:rsidRPr="00447432">
        <w:rPr>
          <w:sz w:val="24"/>
          <w:szCs w:val="24"/>
        </w:rPr>
        <w:t xml:space="preserve">enior </w:t>
      </w:r>
      <w:r w:rsidR="00CB3E8D">
        <w:rPr>
          <w:sz w:val="24"/>
          <w:szCs w:val="24"/>
        </w:rPr>
        <w:t>e</w:t>
      </w:r>
      <w:r w:rsidRPr="00447432">
        <w:rPr>
          <w:sz w:val="24"/>
          <w:szCs w:val="24"/>
        </w:rPr>
        <w:t>nlisted service member representing from the following services USN, USCG, USMC and Senior Civilian Executives.  This was very informative for everyone that attended it prov</w:t>
      </w:r>
      <w:r w:rsidR="00AB43AD">
        <w:rPr>
          <w:sz w:val="24"/>
          <w:szCs w:val="24"/>
        </w:rPr>
        <w:t>ided lessons learned to future m</w:t>
      </w:r>
      <w:r w:rsidRPr="00447432">
        <w:rPr>
          <w:sz w:val="24"/>
          <w:szCs w:val="24"/>
        </w:rPr>
        <w:t xml:space="preserve">ilitary leaders </w:t>
      </w:r>
      <w:r w:rsidR="00AB43AD">
        <w:rPr>
          <w:sz w:val="24"/>
          <w:szCs w:val="24"/>
        </w:rPr>
        <w:t>and</w:t>
      </w:r>
      <w:r w:rsidRPr="00447432">
        <w:rPr>
          <w:sz w:val="24"/>
          <w:szCs w:val="24"/>
        </w:rPr>
        <w:t xml:space="preserve"> </w:t>
      </w:r>
      <w:r w:rsidR="00AB43AD">
        <w:rPr>
          <w:sz w:val="24"/>
          <w:szCs w:val="24"/>
        </w:rPr>
        <w:t>m</w:t>
      </w:r>
      <w:r w:rsidRPr="00447432">
        <w:rPr>
          <w:sz w:val="24"/>
          <w:szCs w:val="24"/>
        </w:rPr>
        <w:t xml:space="preserve">anagers, which are increasingly grappling with generational differences in their work forces.  </w:t>
      </w:r>
      <w:r w:rsidR="00AB43AD">
        <w:rPr>
          <w:sz w:val="24"/>
          <w:szCs w:val="24"/>
        </w:rPr>
        <w:t>They d</w:t>
      </w:r>
      <w:r w:rsidRPr="00447432">
        <w:rPr>
          <w:sz w:val="24"/>
          <w:szCs w:val="24"/>
        </w:rPr>
        <w:t>escribed how problems can arise from differing mindsets and communication styles of workers born in different eras.  How to manage the frictions that may be aggravated by new technologies and work patterns that mix workers of different ages in ever-changing teams.</w:t>
      </w:r>
    </w:p>
    <w:p w:rsidR="00447432" w:rsidRPr="00447432" w:rsidRDefault="00447432" w:rsidP="00CB3E8D">
      <w:pPr>
        <w:pStyle w:val="ListParagraph"/>
        <w:numPr>
          <w:ilvl w:val="1"/>
          <w:numId w:val="1"/>
        </w:numPr>
        <w:rPr>
          <w:sz w:val="24"/>
          <w:szCs w:val="24"/>
        </w:rPr>
      </w:pPr>
      <w:r w:rsidRPr="00447432">
        <w:rPr>
          <w:sz w:val="24"/>
          <w:szCs w:val="24"/>
        </w:rPr>
        <w:t>Speed Mentoring Sessions lead by two Command Master Chiefs with 29.5 years of service (CMC Ernest M. Belmares) provided information that mentoring relatio</w:t>
      </w:r>
      <w:r w:rsidR="00AB43AD">
        <w:rPr>
          <w:sz w:val="24"/>
          <w:szCs w:val="24"/>
        </w:rPr>
        <w:t>nships facilitate an individual</w:t>
      </w:r>
      <w:r w:rsidRPr="00447432">
        <w:rPr>
          <w:sz w:val="24"/>
          <w:szCs w:val="24"/>
        </w:rPr>
        <w:t>s</w:t>
      </w:r>
      <w:r w:rsidR="00AB43AD">
        <w:rPr>
          <w:sz w:val="24"/>
          <w:szCs w:val="24"/>
        </w:rPr>
        <w:t>’</w:t>
      </w:r>
      <w:r w:rsidRPr="00447432">
        <w:rPr>
          <w:sz w:val="24"/>
          <w:szCs w:val="24"/>
        </w:rPr>
        <w:t xml:space="preserve"> professional development through two distinct categories of mentoring functions.  Career planning included sponsorship, exposure and visibility, coaching, protection, and provision of challenging assignments.  Mental functions included role modeling, acceptance and confirmation, counseling and friendship.  The</w:t>
      </w:r>
      <w:r w:rsidR="00AB43AD">
        <w:rPr>
          <w:sz w:val="24"/>
          <w:szCs w:val="24"/>
        </w:rPr>
        <w:t>y</w:t>
      </w:r>
      <w:r w:rsidRPr="00447432">
        <w:rPr>
          <w:sz w:val="24"/>
          <w:szCs w:val="24"/>
        </w:rPr>
        <w:t xml:space="preserve"> highly stressed that </w:t>
      </w:r>
      <w:r w:rsidR="00AB43AD">
        <w:rPr>
          <w:sz w:val="24"/>
          <w:szCs w:val="24"/>
        </w:rPr>
        <w:t>m</w:t>
      </w:r>
      <w:r w:rsidRPr="00447432">
        <w:rPr>
          <w:sz w:val="24"/>
          <w:szCs w:val="24"/>
        </w:rPr>
        <w:t>entorships in any organizational environment tend to share the following characteristics: positive emotional valence, increasing mutuality, a range of career and psychosocial functions, an intentional focus on the development of the mentee’s career and professional identity, and a generative interest on the part of the mentor in passing along a professional legacy.</w:t>
      </w:r>
    </w:p>
    <w:p w:rsidR="00447432" w:rsidRPr="00447432" w:rsidRDefault="00447432" w:rsidP="00CB3E8D">
      <w:pPr>
        <w:pStyle w:val="ListParagraph"/>
        <w:numPr>
          <w:ilvl w:val="1"/>
          <w:numId w:val="1"/>
        </w:numPr>
        <w:rPr>
          <w:sz w:val="24"/>
          <w:szCs w:val="24"/>
        </w:rPr>
      </w:pPr>
      <w:r w:rsidRPr="00447432">
        <w:rPr>
          <w:sz w:val="24"/>
          <w:szCs w:val="24"/>
        </w:rPr>
        <w:t xml:space="preserve">Career </w:t>
      </w:r>
      <w:r w:rsidR="00AB43AD">
        <w:rPr>
          <w:sz w:val="24"/>
          <w:szCs w:val="24"/>
        </w:rPr>
        <w:t>Planner Panel p</w:t>
      </w:r>
      <w:r w:rsidRPr="00447432">
        <w:rPr>
          <w:sz w:val="24"/>
          <w:szCs w:val="24"/>
        </w:rPr>
        <w:t>rovide</w:t>
      </w:r>
      <w:r w:rsidR="00AB43AD">
        <w:rPr>
          <w:sz w:val="24"/>
          <w:szCs w:val="24"/>
        </w:rPr>
        <w:t>d great information o</w:t>
      </w:r>
      <w:r w:rsidRPr="00447432">
        <w:rPr>
          <w:sz w:val="24"/>
          <w:szCs w:val="24"/>
        </w:rPr>
        <w:t xml:space="preserve">n how to </w:t>
      </w:r>
      <w:r w:rsidR="00AB43AD">
        <w:rPr>
          <w:sz w:val="24"/>
          <w:szCs w:val="24"/>
        </w:rPr>
        <w:t>prepare for promotion for both officers and e</w:t>
      </w:r>
      <w:r w:rsidRPr="00447432">
        <w:rPr>
          <w:sz w:val="24"/>
          <w:szCs w:val="24"/>
        </w:rPr>
        <w:t xml:space="preserve">nlisted.  What items to look out for and what you </w:t>
      </w:r>
      <w:r w:rsidR="00AB43AD">
        <w:rPr>
          <w:sz w:val="24"/>
          <w:szCs w:val="24"/>
        </w:rPr>
        <w:t>should be concerned about fitness report</w:t>
      </w:r>
      <w:r w:rsidRPr="00447432">
        <w:rPr>
          <w:sz w:val="24"/>
          <w:szCs w:val="24"/>
        </w:rPr>
        <w:t>s and evaluations.  They also provide</w:t>
      </w:r>
      <w:r w:rsidR="00AB43AD">
        <w:rPr>
          <w:sz w:val="24"/>
          <w:szCs w:val="24"/>
        </w:rPr>
        <w:t>d information about o</w:t>
      </w:r>
      <w:r w:rsidRPr="00447432">
        <w:rPr>
          <w:sz w:val="24"/>
          <w:szCs w:val="24"/>
        </w:rPr>
        <w:t xml:space="preserve">fficer </w:t>
      </w:r>
      <w:r w:rsidR="00AB43AD">
        <w:rPr>
          <w:sz w:val="24"/>
          <w:szCs w:val="24"/>
        </w:rPr>
        <w:t>p</w:t>
      </w:r>
      <w:r w:rsidRPr="00447432">
        <w:rPr>
          <w:sz w:val="24"/>
          <w:szCs w:val="24"/>
        </w:rPr>
        <w:t xml:space="preserve">rograms and educational opportunities that many did not know about.  </w:t>
      </w:r>
    </w:p>
    <w:p w:rsidR="00447432" w:rsidRPr="00447432" w:rsidRDefault="00AB43AD" w:rsidP="00CB3E8D">
      <w:pPr>
        <w:pStyle w:val="ListParagraph"/>
        <w:numPr>
          <w:ilvl w:val="1"/>
          <w:numId w:val="1"/>
        </w:numPr>
        <w:rPr>
          <w:sz w:val="24"/>
          <w:szCs w:val="24"/>
        </w:rPr>
      </w:pPr>
      <w:r>
        <w:rPr>
          <w:sz w:val="24"/>
          <w:szCs w:val="24"/>
        </w:rPr>
        <w:t xml:space="preserve">The </w:t>
      </w:r>
      <w:r w:rsidR="00447432" w:rsidRPr="00447432">
        <w:rPr>
          <w:sz w:val="24"/>
          <w:szCs w:val="24"/>
        </w:rPr>
        <w:t xml:space="preserve">Transition and Networking session was </w:t>
      </w:r>
      <w:r>
        <w:rPr>
          <w:sz w:val="24"/>
          <w:szCs w:val="24"/>
        </w:rPr>
        <w:t xml:space="preserve">presented by Angelica Velazquez a </w:t>
      </w:r>
      <w:r w:rsidR="00447432" w:rsidRPr="00447432">
        <w:rPr>
          <w:sz w:val="24"/>
          <w:szCs w:val="24"/>
        </w:rPr>
        <w:t>member of ANSO San Diego</w:t>
      </w:r>
      <w:r>
        <w:rPr>
          <w:sz w:val="24"/>
          <w:szCs w:val="24"/>
        </w:rPr>
        <w:t xml:space="preserve"> and Major Kevin Cortes USMC (ret), the Executive Vice President of the Board of ANSO.  The</w:t>
      </w:r>
      <w:r w:rsidR="00447432" w:rsidRPr="00447432">
        <w:rPr>
          <w:sz w:val="24"/>
          <w:szCs w:val="24"/>
        </w:rPr>
        <w:t xml:space="preserve"> </w:t>
      </w:r>
      <w:r>
        <w:rPr>
          <w:sz w:val="24"/>
          <w:szCs w:val="24"/>
        </w:rPr>
        <w:t>presentation</w:t>
      </w:r>
      <w:r w:rsidR="00447432" w:rsidRPr="00447432">
        <w:rPr>
          <w:sz w:val="24"/>
          <w:szCs w:val="24"/>
        </w:rPr>
        <w:t xml:space="preserve"> was focusing on never </w:t>
      </w:r>
      <w:r w:rsidR="00447432" w:rsidRPr="00447432">
        <w:rPr>
          <w:sz w:val="24"/>
          <w:szCs w:val="24"/>
        </w:rPr>
        <w:lastRenderedPageBreak/>
        <w:t>too early to start thinking about your transition plan, whether you're a senior officer with 30 years or junior enlisted with less than four.  Early transition career and financial planning can help ensure a smooth transition from service member</w:t>
      </w:r>
      <w:r w:rsidR="003B21CD">
        <w:rPr>
          <w:sz w:val="24"/>
          <w:szCs w:val="24"/>
        </w:rPr>
        <w:t>s to civilian.  In addition, they</w:t>
      </w:r>
      <w:r w:rsidR="00447432" w:rsidRPr="00447432">
        <w:rPr>
          <w:sz w:val="24"/>
          <w:szCs w:val="24"/>
        </w:rPr>
        <w:t xml:space="preserve"> briefed why networking is essential for career success and everyone should know how to do it.  </w:t>
      </w:r>
      <w:r w:rsidR="003B21CD">
        <w:rPr>
          <w:sz w:val="24"/>
          <w:szCs w:val="24"/>
        </w:rPr>
        <w:t>The topics</w:t>
      </w:r>
      <w:r w:rsidR="00447432" w:rsidRPr="00447432">
        <w:rPr>
          <w:sz w:val="24"/>
          <w:szCs w:val="24"/>
        </w:rPr>
        <w:t xml:space="preserve"> to</w:t>
      </w:r>
      <w:r w:rsidR="003B21CD">
        <w:rPr>
          <w:sz w:val="24"/>
          <w:szCs w:val="24"/>
        </w:rPr>
        <w:t>uched on the following: k</w:t>
      </w:r>
      <w:r w:rsidR="00447432" w:rsidRPr="00447432">
        <w:rPr>
          <w:sz w:val="24"/>
          <w:szCs w:val="24"/>
        </w:rPr>
        <w:t xml:space="preserve">nowledge </w:t>
      </w:r>
      <w:r w:rsidR="003B21CD">
        <w:rPr>
          <w:sz w:val="24"/>
          <w:szCs w:val="24"/>
        </w:rPr>
        <w:t>s</w:t>
      </w:r>
      <w:r w:rsidR="00447432" w:rsidRPr="00447432">
        <w:rPr>
          <w:sz w:val="24"/>
          <w:szCs w:val="24"/>
        </w:rPr>
        <w:t xml:space="preserve">haring, making connections equals more connections, and finally provided some strategies for expanding your professional network database. </w:t>
      </w:r>
    </w:p>
    <w:p w:rsidR="00817551" w:rsidRPr="00B37140" w:rsidRDefault="00447432" w:rsidP="00CB3E8D">
      <w:pPr>
        <w:pStyle w:val="ListParagraph"/>
        <w:numPr>
          <w:ilvl w:val="1"/>
          <w:numId w:val="1"/>
        </w:numPr>
        <w:rPr>
          <w:sz w:val="24"/>
          <w:szCs w:val="24"/>
        </w:rPr>
      </w:pPr>
      <w:r w:rsidRPr="00447432">
        <w:rPr>
          <w:sz w:val="24"/>
          <w:szCs w:val="24"/>
        </w:rPr>
        <w:t xml:space="preserve">Motivational and Wrap-up closing remarks by </w:t>
      </w:r>
      <w:r w:rsidR="003B21CD">
        <w:rPr>
          <w:sz w:val="24"/>
          <w:szCs w:val="24"/>
        </w:rPr>
        <w:t>ANSO President and LCDR Henry Martinez II</w:t>
      </w:r>
      <w:r w:rsidRPr="00447432">
        <w:rPr>
          <w:sz w:val="24"/>
          <w:szCs w:val="24"/>
        </w:rPr>
        <w:t>.   Provided how important it is to be an active and effective member of ANSO, join the grassroots movement and making a difference within your community.</w:t>
      </w:r>
    </w:p>
    <w:p w:rsidR="00817551" w:rsidRPr="00B37140" w:rsidRDefault="00817551" w:rsidP="00B748B1">
      <w:pPr>
        <w:pStyle w:val="ListParagraph"/>
        <w:numPr>
          <w:ilvl w:val="0"/>
          <w:numId w:val="1"/>
        </w:numPr>
        <w:ind w:left="450" w:hanging="450"/>
        <w:rPr>
          <w:sz w:val="24"/>
          <w:szCs w:val="24"/>
        </w:rPr>
      </w:pPr>
      <w:r w:rsidRPr="00B37140">
        <w:rPr>
          <w:sz w:val="24"/>
          <w:szCs w:val="24"/>
        </w:rPr>
        <w:t>Lessons Learned:</w:t>
      </w:r>
    </w:p>
    <w:p w:rsidR="00817551" w:rsidRPr="003B21CD" w:rsidRDefault="00817551" w:rsidP="003B21CD">
      <w:pPr>
        <w:pStyle w:val="ListParagraph"/>
        <w:numPr>
          <w:ilvl w:val="1"/>
          <w:numId w:val="1"/>
        </w:numPr>
        <w:ind w:left="1530" w:hanging="450"/>
        <w:rPr>
          <w:sz w:val="24"/>
          <w:szCs w:val="24"/>
        </w:rPr>
      </w:pPr>
      <w:r w:rsidRPr="00B37140">
        <w:rPr>
          <w:sz w:val="24"/>
          <w:szCs w:val="24"/>
        </w:rPr>
        <w:t xml:space="preserve">Registration must be done using </w:t>
      </w:r>
      <w:r w:rsidR="00447432" w:rsidRPr="00B37140">
        <w:rPr>
          <w:sz w:val="24"/>
          <w:szCs w:val="24"/>
        </w:rPr>
        <w:t>an</w:t>
      </w:r>
      <w:r w:rsidR="00447432">
        <w:rPr>
          <w:sz w:val="24"/>
          <w:szCs w:val="24"/>
        </w:rPr>
        <w:t xml:space="preserve"> updated registration </w:t>
      </w:r>
      <w:r w:rsidRPr="00B37140">
        <w:rPr>
          <w:sz w:val="24"/>
          <w:szCs w:val="24"/>
        </w:rPr>
        <w:t xml:space="preserve">ANSO system.  </w:t>
      </w:r>
      <w:r w:rsidR="00447432">
        <w:rPr>
          <w:sz w:val="24"/>
          <w:szCs w:val="24"/>
        </w:rPr>
        <w:t>I believe that we missed an opportunity to collect an accurate count from all Sea Services</w:t>
      </w:r>
      <w:r w:rsidR="003B21CD">
        <w:rPr>
          <w:sz w:val="24"/>
          <w:szCs w:val="24"/>
        </w:rPr>
        <w:t xml:space="preserve">.  </w:t>
      </w:r>
      <w:r w:rsidR="00447432">
        <w:rPr>
          <w:sz w:val="24"/>
          <w:szCs w:val="24"/>
        </w:rPr>
        <w:t xml:space="preserve"> </w:t>
      </w:r>
      <w:r w:rsidRPr="003B21CD">
        <w:rPr>
          <w:sz w:val="24"/>
          <w:szCs w:val="24"/>
        </w:rPr>
        <w:t xml:space="preserve">It took </w:t>
      </w:r>
      <w:r w:rsidR="003B21CD">
        <w:rPr>
          <w:sz w:val="24"/>
          <w:szCs w:val="24"/>
        </w:rPr>
        <w:t>six</w:t>
      </w:r>
      <w:r w:rsidR="00447432" w:rsidRPr="003B21CD">
        <w:rPr>
          <w:sz w:val="24"/>
          <w:szCs w:val="24"/>
        </w:rPr>
        <w:t xml:space="preserve"> hours </w:t>
      </w:r>
      <w:r w:rsidRPr="003B21CD">
        <w:rPr>
          <w:sz w:val="24"/>
          <w:szCs w:val="24"/>
        </w:rPr>
        <w:t>to ensure all Navy personnel were checked in</w:t>
      </w:r>
      <w:r w:rsidR="003B21CD" w:rsidRPr="003B21CD">
        <w:rPr>
          <w:sz w:val="24"/>
          <w:szCs w:val="24"/>
        </w:rPr>
        <w:t>.  T</w:t>
      </w:r>
      <w:r w:rsidRPr="003B21CD">
        <w:rPr>
          <w:sz w:val="24"/>
          <w:szCs w:val="24"/>
        </w:rPr>
        <w:t>hen it took an extra 3</w:t>
      </w:r>
      <w:r w:rsidR="00447432" w:rsidRPr="003B21CD">
        <w:rPr>
          <w:sz w:val="24"/>
          <w:szCs w:val="24"/>
        </w:rPr>
        <w:t>0</w:t>
      </w:r>
      <w:r w:rsidRPr="003B21CD">
        <w:rPr>
          <w:sz w:val="24"/>
          <w:szCs w:val="24"/>
        </w:rPr>
        <w:t xml:space="preserve"> days to ensure they were in the ANSO system.  The ANSO webpage can provide all the information that a service needs to conduct pre- and post-surveys, or a</w:t>
      </w:r>
      <w:r w:rsidR="007E51DF" w:rsidRPr="003B21CD">
        <w:rPr>
          <w:sz w:val="24"/>
          <w:szCs w:val="24"/>
        </w:rPr>
        <w:t>ny other item then need to do</w:t>
      </w:r>
      <w:r w:rsidR="003B21CD">
        <w:rPr>
          <w:sz w:val="24"/>
          <w:szCs w:val="24"/>
        </w:rPr>
        <w:t xml:space="preserve"> if R</w:t>
      </w:r>
      <w:r w:rsidR="00447432" w:rsidRPr="003B21CD">
        <w:rPr>
          <w:sz w:val="24"/>
          <w:szCs w:val="24"/>
        </w:rPr>
        <w:t xml:space="preserve">egional </w:t>
      </w:r>
      <w:r w:rsidR="003B21CD">
        <w:rPr>
          <w:sz w:val="24"/>
          <w:szCs w:val="24"/>
        </w:rPr>
        <w:t>P</w:t>
      </w:r>
      <w:r w:rsidR="00447432" w:rsidRPr="003B21CD">
        <w:rPr>
          <w:sz w:val="24"/>
          <w:szCs w:val="24"/>
        </w:rPr>
        <w:t>residents had access</w:t>
      </w:r>
      <w:r w:rsidR="007E51DF" w:rsidRPr="003B21CD">
        <w:rPr>
          <w:sz w:val="24"/>
          <w:szCs w:val="24"/>
        </w:rPr>
        <w:t>.</w:t>
      </w:r>
    </w:p>
    <w:p w:rsidR="007E51DF" w:rsidRPr="00B37140" w:rsidRDefault="007E51DF" w:rsidP="003B21CD">
      <w:pPr>
        <w:pStyle w:val="ListParagraph"/>
        <w:numPr>
          <w:ilvl w:val="1"/>
          <w:numId w:val="1"/>
        </w:numPr>
        <w:ind w:left="1530" w:hanging="450"/>
        <w:rPr>
          <w:sz w:val="24"/>
          <w:szCs w:val="24"/>
        </w:rPr>
      </w:pPr>
      <w:r w:rsidRPr="00B37140">
        <w:rPr>
          <w:sz w:val="24"/>
          <w:szCs w:val="24"/>
        </w:rPr>
        <w:t xml:space="preserve">Registration cost: </w:t>
      </w:r>
      <w:r w:rsidR="00447432">
        <w:rPr>
          <w:sz w:val="24"/>
          <w:szCs w:val="24"/>
        </w:rPr>
        <w:t xml:space="preserve">$75.00 </w:t>
      </w:r>
      <w:r w:rsidRPr="00B37140">
        <w:rPr>
          <w:sz w:val="24"/>
          <w:szCs w:val="24"/>
        </w:rPr>
        <w:t>ANSO has one of the lowest one-day registration costs of any military affinity organization.  The registration cost did not cover all expenses.</w:t>
      </w:r>
    </w:p>
    <w:p w:rsidR="007E51DF" w:rsidRDefault="00B37140" w:rsidP="003B21CD">
      <w:pPr>
        <w:pStyle w:val="ListParagraph"/>
        <w:numPr>
          <w:ilvl w:val="1"/>
          <w:numId w:val="1"/>
        </w:numPr>
        <w:ind w:left="1530" w:hanging="450"/>
        <w:rPr>
          <w:sz w:val="24"/>
          <w:szCs w:val="24"/>
        </w:rPr>
      </w:pPr>
      <w:r>
        <w:rPr>
          <w:sz w:val="24"/>
          <w:szCs w:val="24"/>
        </w:rPr>
        <w:t xml:space="preserve">A photographer must be designated for the event. </w:t>
      </w:r>
      <w:r w:rsidR="003B21CD">
        <w:rPr>
          <w:sz w:val="24"/>
          <w:szCs w:val="24"/>
        </w:rPr>
        <w:t xml:space="preserve">The ANSO </w:t>
      </w:r>
      <w:r w:rsidR="00B41787">
        <w:rPr>
          <w:sz w:val="24"/>
          <w:szCs w:val="24"/>
        </w:rPr>
        <w:t xml:space="preserve">BOD </w:t>
      </w:r>
      <w:r w:rsidR="003B21CD">
        <w:rPr>
          <w:sz w:val="24"/>
          <w:szCs w:val="24"/>
        </w:rPr>
        <w:t>PAO was not present, but arrangements could have been made for local PAO support.</w:t>
      </w:r>
    </w:p>
    <w:p w:rsidR="00A12B71" w:rsidRDefault="00B37140" w:rsidP="003B21CD">
      <w:pPr>
        <w:pStyle w:val="ListParagraph"/>
        <w:numPr>
          <w:ilvl w:val="1"/>
          <w:numId w:val="1"/>
        </w:numPr>
        <w:ind w:left="1530" w:hanging="450"/>
        <w:rPr>
          <w:sz w:val="24"/>
          <w:szCs w:val="24"/>
        </w:rPr>
      </w:pPr>
      <w:r>
        <w:rPr>
          <w:sz w:val="24"/>
          <w:szCs w:val="24"/>
        </w:rPr>
        <w:t xml:space="preserve">A notes taker – for the minutes and after action report – must be designated for the event.  </w:t>
      </w:r>
      <w:r w:rsidR="003B21CD">
        <w:rPr>
          <w:sz w:val="24"/>
          <w:szCs w:val="24"/>
        </w:rPr>
        <w:t xml:space="preserve">BOD Secretary was not present, but a local ANSO Chapter Representative could have filled in.  </w:t>
      </w:r>
    </w:p>
    <w:p w:rsidR="003668EB" w:rsidRDefault="00A12B71" w:rsidP="003B21CD">
      <w:pPr>
        <w:pStyle w:val="ListParagraph"/>
        <w:numPr>
          <w:ilvl w:val="1"/>
          <w:numId w:val="1"/>
        </w:numPr>
        <w:ind w:left="1530" w:hanging="450"/>
        <w:rPr>
          <w:sz w:val="24"/>
          <w:szCs w:val="24"/>
        </w:rPr>
      </w:pPr>
      <w:r w:rsidRPr="00A12B71">
        <w:rPr>
          <w:sz w:val="24"/>
          <w:szCs w:val="24"/>
        </w:rPr>
        <w:t xml:space="preserve">LT Kropa OPNAV N1, N13 lessons learned input: feedback regarding lessons learned is to ensure that all attendees who wish to use a Navy-funded registration contact OPNAV N134 directly, to ensure accurate accountability and so they are able to complete a pre and post-conference survey for ROI assessment.  </w:t>
      </w:r>
    </w:p>
    <w:p w:rsidR="003668EB" w:rsidRDefault="003668EB" w:rsidP="003668EB">
      <w:pPr>
        <w:pStyle w:val="ListParagraph"/>
        <w:ind w:left="1530"/>
        <w:rPr>
          <w:sz w:val="24"/>
          <w:szCs w:val="24"/>
        </w:rPr>
      </w:pPr>
    </w:p>
    <w:p w:rsidR="003668EB" w:rsidRPr="003668EB" w:rsidRDefault="003668EB" w:rsidP="003668EB">
      <w:pPr>
        <w:pStyle w:val="ListParagraph"/>
        <w:numPr>
          <w:ilvl w:val="0"/>
          <w:numId w:val="1"/>
        </w:numPr>
        <w:ind w:left="450" w:hanging="450"/>
        <w:rPr>
          <w:sz w:val="24"/>
          <w:szCs w:val="24"/>
        </w:rPr>
      </w:pPr>
      <w:r w:rsidRPr="003668EB">
        <w:rPr>
          <w:sz w:val="24"/>
          <w:szCs w:val="24"/>
        </w:rPr>
        <w:t>Cost Breakdown:</w:t>
      </w:r>
    </w:p>
    <w:tbl>
      <w:tblPr>
        <w:tblW w:w="6960" w:type="dxa"/>
        <w:tblInd w:w="99" w:type="dxa"/>
        <w:tblLook w:val="04A0"/>
      </w:tblPr>
      <w:tblGrid>
        <w:gridCol w:w="5740"/>
        <w:gridCol w:w="1220"/>
      </w:tblGrid>
      <w:tr w:rsidR="003668EB" w:rsidRPr="003668EB" w:rsidTr="003668EB">
        <w:trPr>
          <w:trHeight w:val="439"/>
        </w:trPr>
        <w:tc>
          <w:tcPr>
            <w:tcW w:w="5740" w:type="dxa"/>
            <w:tcBorders>
              <w:top w:val="single" w:sz="4" w:space="0" w:color="8EAADC"/>
              <w:left w:val="nil"/>
              <w:bottom w:val="single" w:sz="4" w:space="0" w:color="8EAADC"/>
              <w:right w:val="nil"/>
            </w:tcBorders>
            <w:shd w:val="clear" w:color="auto" w:fill="auto"/>
            <w:vAlign w:val="bottom"/>
            <w:hideMark/>
          </w:tcPr>
          <w:p w:rsidR="003668EB" w:rsidRPr="003668EB" w:rsidRDefault="003668EB" w:rsidP="003668EB">
            <w:pPr>
              <w:overflowPunct/>
              <w:autoSpaceDE/>
              <w:autoSpaceDN/>
              <w:adjustRightInd/>
              <w:textAlignment w:val="auto"/>
              <w:rPr>
                <w:color w:val="000000"/>
                <w:lang w:eastAsia="ja-JP"/>
              </w:rPr>
            </w:pPr>
            <w:r w:rsidRPr="003668EB">
              <w:rPr>
                <w:color w:val="000000"/>
                <w:lang w:eastAsia="ja-JP"/>
              </w:rPr>
              <w:t>ADM Kidd Conference Center 2016 WRLS facility deposit</w:t>
            </w:r>
          </w:p>
        </w:tc>
        <w:tc>
          <w:tcPr>
            <w:tcW w:w="1220" w:type="dxa"/>
            <w:tcBorders>
              <w:top w:val="single" w:sz="4" w:space="0" w:color="8EAADC"/>
              <w:left w:val="nil"/>
              <w:bottom w:val="single" w:sz="4" w:space="0" w:color="8EAADC"/>
              <w:right w:val="nil"/>
            </w:tcBorders>
            <w:shd w:val="clear" w:color="auto" w:fill="auto"/>
            <w:noWrap/>
            <w:vAlign w:val="bottom"/>
            <w:hideMark/>
          </w:tcPr>
          <w:p w:rsidR="003668EB" w:rsidRPr="003668EB" w:rsidRDefault="003668EB" w:rsidP="003668EB">
            <w:pPr>
              <w:overflowPunct/>
              <w:autoSpaceDE/>
              <w:autoSpaceDN/>
              <w:adjustRightInd/>
              <w:jc w:val="right"/>
              <w:textAlignment w:val="auto"/>
              <w:rPr>
                <w:color w:val="000000"/>
                <w:lang w:eastAsia="ja-JP"/>
              </w:rPr>
            </w:pPr>
            <w:r w:rsidRPr="003668EB">
              <w:rPr>
                <w:color w:val="000000"/>
                <w:lang w:eastAsia="ja-JP"/>
              </w:rPr>
              <w:t>$250.00</w:t>
            </w:r>
          </w:p>
        </w:tc>
      </w:tr>
      <w:tr w:rsidR="003668EB" w:rsidRPr="003668EB" w:rsidTr="003668EB">
        <w:trPr>
          <w:trHeight w:val="439"/>
        </w:trPr>
        <w:tc>
          <w:tcPr>
            <w:tcW w:w="5740" w:type="dxa"/>
            <w:tcBorders>
              <w:top w:val="nil"/>
              <w:left w:val="nil"/>
              <w:bottom w:val="single" w:sz="4" w:space="0" w:color="8EAADC"/>
              <w:right w:val="nil"/>
            </w:tcBorders>
            <w:shd w:val="clear" w:color="auto" w:fill="auto"/>
            <w:vAlign w:val="bottom"/>
            <w:hideMark/>
          </w:tcPr>
          <w:p w:rsidR="003668EB" w:rsidRPr="003668EB" w:rsidRDefault="003668EB" w:rsidP="003668EB">
            <w:pPr>
              <w:overflowPunct/>
              <w:autoSpaceDE/>
              <w:autoSpaceDN/>
              <w:adjustRightInd/>
              <w:textAlignment w:val="auto"/>
              <w:rPr>
                <w:color w:val="000000"/>
                <w:lang w:eastAsia="ja-JP"/>
              </w:rPr>
            </w:pPr>
            <w:r w:rsidRPr="003668EB">
              <w:rPr>
                <w:color w:val="000000"/>
                <w:lang w:eastAsia="ja-JP"/>
              </w:rPr>
              <w:t>XCOM Global Hotspot for WRLS</w:t>
            </w:r>
          </w:p>
        </w:tc>
        <w:tc>
          <w:tcPr>
            <w:tcW w:w="1220" w:type="dxa"/>
            <w:tcBorders>
              <w:top w:val="nil"/>
              <w:left w:val="nil"/>
              <w:bottom w:val="single" w:sz="4" w:space="0" w:color="8EAADC"/>
              <w:right w:val="nil"/>
            </w:tcBorders>
            <w:shd w:val="clear" w:color="auto" w:fill="auto"/>
            <w:noWrap/>
            <w:vAlign w:val="bottom"/>
            <w:hideMark/>
          </w:tcPr>
          <w:p w:rsidR="003668EB" w:rsidRPr="003668EB" w:rsidRDefault="003668EB" w:rsidP="003668EB">
            <w:pPr>
              <w:overflowPunct/>
              <w:autoSpaceDE/>
              <w:autoSpaceDN/>
              <w:adjustRightInd/>
              <w:jc w:val="right"/>
              <w:textAlignment w:val="auto"/>
              <w:rPr>
                <w:color w:val="000000"/>
                <w:lang w:eastAsia="ja-JP"/>
              </w:rPr>
            </w:pPr>
            <w:r w:rsidRPr="003668EB">
              <w:rPr>
                <w:color w:val="000000"/>
                <w:lang w:eastAsia="ja-JP"/>
              </w:rPr>
              <w:t>$28.72</w:t>
            </w:r>
          </w:p>
        </w:tc>
      </w:tr>
      <w:tr w:rsidR="003668EB" w:rsidRPr="003668EB" w:rsidTr="003668EB">
        <w:trPr>
          <w:trHeight w:val="439"/>
        </w:trPr>
        <w:tc>
          <w:tcPr>
            <w:tcW w:w="5740" w:type="dxa"/>
            <w:tcBorders>
              <w:top w:val="nil"/>
              <w:left w:val="nil"/>
              <w:bottom w:val="single" w:sz="4" w:space="0" w:color="8EAADC"/>
              <w:right w:val="nil"/>
            </w:tcBorders>
            <w:shd w:val="clear" w:color="auto" w:fill="auto"/>
            <w:vAlign w:val="bottom"/>
            <w:hideMark/>
          </w:tcPr>
          <w:p w:rsidR="003668EB" w:rsidRPr="003668EB" w:rsidRDefault="003668EB" w:rsidP="003668EB">
            <w:pPr>
              <w:overflowPunct/>
              <w:autoSpaceDE/>
              <w:autoSpaceDN/>
              <w:adjustRightInd/>
              <w:textAlignment w:val="auto"/>
              <w:rPr>
                <w:color w:val="000000"/>
                <w:lang w:eastAsia="ja-JP"/>
              </w:rPr>
            </w:pPr>
            <w:r w:rsidRPr="003668EB">
              <w:rPr>
                <w:color w:val="000000"/>
                <w:lang w:eastAsia="ja-JP"/>
              </w:rPr>
              <w:t xml:space="preserve">FEDEX </w:t>
            </w:r>
            <w:proofErr w:type="spellStart"/>
            <w:r w:rsidRPr="003668EB">
              <w:rPr>
                <w:color w:val="000000"/>
                <w:lang w:eastAsia="ja-JP"/>
              </w:rPr>
              <w:t>Kinkos</w:t>
            </w:r>
            <w:proofErr w:type="spellEnd"/>
            <w:r w:rsidRPr="003668EB">
              <w:rPr>
                <w:color w:val="000000"/>
                <w:lang w:eastAsia="ja-JP"/>
              </w:rPr>
              <w:t xml:space="preserve"> Agenda and Flyer for 2016 WRLS</w:t>
            </w:r>
          </w:p>
        </w:tc>
        <w:tc>
          <w:tcPr>
            <w:tcW w:w="1220" w:type="dxa"/>
            <w:tcBorders>
              <w:top w:val="nil"/>
              <w:left w:val="nil"/>
              <w:bottom w:val="single" w:sz="4" w:space="0" w:color="8EAADC"/>
              <w:right w:val="nil"/>
            </w:tcBorders>
            <w:shd w:val="clear" w:color="auto" w:fill="auto"/>
            <w:noWrap/>
            <w:vAlign w:val="bottom"/>
            <w:hideMark/>
          </w:tcPr>
          <w:p w:rsidR="003668EB" w:rsidRPr="003668EB" w:rsidRDefault="003668EB" w:rsidP="003668EB">
            <w:pPr>
              <w:overflowPunct/>
              <w:autoSpaceDE/>
              <w:autoSpaceDN/>
              <w:adjustRightInd/>
              <w:jc w:val="right"/>
              <w:textAlignment w:val="auto"/>
              <w:rPr>
                <w:color w:val="000000"/>
                <w:lang w:eastAsia="ja-JP"/>
              </w:rPr>
            </w:pPr>
            <w:r w:rsidRPr="003668EB">
              <w:rPr>
                <w:color w:val="000000"/>
                <w:lang w:eastAsia="ja-JP"/>
              </w:rPr>
              <w:t>$281.21</w:t>
            </w:r>
          </w:p>
        </w:tc>
      </w:tr>
      <w:tr w:rsidR="003668EB" w:rsidRPr="003668EB" w:rsidTr="003668EB">
        <w:trPr>
          <w:trHeight w:val="439"/>
        </w:trPr>
        <w:tc>
          <w:tcPr>
            <w:tcW w:w="5740" w:type="dxa"/>
            <w:tcBorders>
              <w:top w:val="nil"/>
              <w:left w:val="nil"/>
              <w:bottom w:val="single" w:sz="4" w:space="0" w:color="8EAADC"/>
              <w:right w:val="nil"/>
            </w:tcBorders>
            <w:shd w:val="clear" w:color="auto" w:fill="auto"/>
            <w:vAlign w:val="bottom"/>
            <w:hideMark/>
          </w:tcPr>
          <w:p w:rsidR="003668EB" w:rsidRPr="003668EB" w:rsidRDefault="003668EB" w:rsidP="003668EB">
            <w:pPr>
              <w:overflowPunct/>
              <w:autoSpaceDE/>
              <w:autoSpaceDN/>
              <w:adjustRightInd/>
              <w:textAlignment w:val="auto"/>
              <w:rPr>
                <w:color w:val="000000"/>
                <w:lang w:eastAsia="ja-JP"/>
              </w:rPr>
            </w:pPr>
            <w:r w:rsidRPr="003668EB">
              <w:rPr>
                <w:color w:val="000000"/>
                <w:lang w:eastAsia="ja-JP"/>
              </w:rPr>
              <w:t>SIGNORAMA</w:t>
            </w:r>
          </w:p>
        </w:tc>
        <w:tc>
          <w:tcPr>
            <w:tcW w:w="1220" w:type="dxa"/>
            <w:tcBorders>
              <w:top w:val="nil"/>
              <w:left w:val="nil"/>
              <w:bottom w:val="single" w:sz="4" w:space="0" w:color="8EAADC"/>
              <w:right w:val="nil"/>
            </w:tcBorders>
            <w:shd w:val="clear" w:color="auto" w:fill="auto"/>
            <w:noWrap/>
            <w:vAlign w:val="bottom"/>
            <w:hideMark/>
          </w:tcPr>
          <w:p w:rsidR="003668EB" w:rsidRPr="003668EB" w:rsidRDefault="003668EB" w:rsidP="003668EB">
            <w:pPr>
              <w:overflowPunct/>
              <w:autoSpaceDE/>
              <w:autoSpaceDN/>
              <w:adjustRightInd/>
              <w:jc w:val="right"/>
              <w:textAlignment w:val="auto"/>
              <w:rPr>
                <w:color w:val="000000"/>
                <w:lang w:eastAsia="ja-JP"/>
              </w:rPr>
            </w:pPr>
            <w:r w:rsidRPr="003668EB">
              <w:rPr>
                <w:color w:val="000000"/>
                <w:lang w:eastAsia="ja-JP"/>
              </w:rPr>
              <w:t>$381.78</w:t>
            </w:r>
          </w:p>
        </w:tc>
      </w:tr>
      <w:tr w:rsidR="003668EB" w:rsidRPr="003668EB" w:rsidTr="003668EB">
        <w:trPr>
          <w:trHeight w:val="439"/>
        </w:trPr>
        <w:tc>
          <w:tcPr>
            <w:tcW w:w="5740" w:type="dxa"/>
            <w:tcBorders>
              <w:top w:val="nil"/>
              <w:left w:val="nil"/>
              <w:bottom w:val="single" w:sz="4" w:space="0" w:color="8EAADC"/>
              <w:right w:val="nil"/>
            </w:tcBorders>
            <w:shd w:val="clear" w:color="auto" w:fill="auto"/>
            <w:vAlign w:val="bottom"/>
            <w:hideMark/>
          </w:tcPr>
          <w:p w:rsidR="003668EB" w:rsidRPr="003668EB" w:rsidRDefault="003668EB" w:rsidP="003668EB">
            <w:pPr>
              <w:overflowPunct/>
              <w:autoSpaceDE/>
              <w:autoSpaceDN/>
              <w:adjustRightInd/>
              <w:textAlignment w:val="auto"/>
              <w:rPr>
                <w:color w:val="000000"/>
                <w:lang w:eastAsia="ja-JP"/>
              </w:rPr>
            </w:pPr>
            <w:r w:rsidRPr="003668EB">
              <w:rPr>
                <w:color w:val="000000"/>
                <w:lang w:eastAsia="ja-JP"/>
              </w:rPr>
              <w:t>Alex Montoya 2016WRLS Motivational Speaker</w:t>
            </w:r>
          </w:p>
        </w:tc>
        <w:tc>
          <w:tcPr>
            <w:tcW w:w="1220" w:type="dxa"/>
            <w:tcBorders>
              <w:top w:val="nil"/>
              <w:left w:val="nil"/>
              <w:bottom w:val="single" w:sz="4" w:space="0" w:color="8EAADC"/>
              <w:right w:val="nil"/>
            </w:tcBorders>
            <w:shd w:val="clear" w:color="auto" w:fill="auto"/>
            <w:noWrap/>
            <w:vAlign w:val="bottom"/>
            <w:hideMark/>
          </w:tcPr>
          <w:p w:rsidR="003668EB" w:rsidRPr="003668EB" w:rsidRDefault="003668EB" w:rsidP="003668EB">
            <w:pPr>
              <w:overflowPunct/>
              <w:autoSpaceDE/>
              <w:autoSpaceDN/>
              <w:adjustRightInd/>
              <w:jc w:val="right"/>
              <w:textAlignment w:val="auto"/>
              <w:rPr>
                <w:color w:val="000000"/>
                <w:lang w:eastAsia="ja-JP"/>
              </w:rPr>
            </w:pPr>
            <w:r w:rsidRPr="003668EB">
              <w:rPr>
                <w:color w:val="000000"/>
                <w:lang w:eastAsia="ja-JP"/>
              </w:rPr>
              <w:t>$500.00</w:t>
            </w:r>
          </w:p>
        </w:tc>
      </w:tr>
      <w:tr w:rsidR="003668EB" w:rsidRPr="003668EB" w:rsidTr="003668EB">
        <w:trPr>
          <w:trHeight w:val="439"/>
        </w:trPr>
        <w:tc>
          <w:tcPr>
            <w:tcW w:w="5740" w:type="dxa"/>
            <w:tcBorders>
              <w:top w:val="nil"/>
              <w:left w:val="nil"/>
              <w:bottom w:val="single" w:sz="4" w:space="0" w:color="8EAADC"/>
              <w:right w:val="nil"/>
            </w:tcBorders>
            <w:shd w:val="clear" w:color="auto" w:fill="auto"/>
            <w:vAlign w:val="bottom"/>
            <w:hideMark/>
          </w:tcPr>
          <w:p w:rsidR="003668EB" w:rsidRPr="003668EB" w:rsidRDefault="003668EB" w:rsidP="003668EB">
            <w:pPr>
              <w:overflowPunct/>
              <w:autoSpaceDE/>
              <w:autoSpaceDN/>
              <w:adjustRightInd/>
              <w:textAlignment w:val="auto"/>
              <w:rPr>
                <w:color w:val="000000"/>
                <w:lang w:eastAsia="ja-JP"/>
              </w:rPr>
            </w:pPr>
            <w:r w:rsidRPr="003668EB">
              <w:rPr>
                <w:color w:val="000000"/>
                <w:lang w:eastAsia="ja-JP"/>
              </w:rPr>
              <w:t>MWR  2016 WRLS facility and catering final payment</w:t>
            </w:r>
          </w:p>
        </w:tc>
        <w:tc>
          <w:tcPr>
            <w:tcW w:w="1220" w:type="dxa"/>
            <w:tcBorders>
              <w:top w:val="nil"/>
              <w:left w:val="nil"/>
              <w:bottom w:val="single" w:sz="4" w:space="0" w:color="8EAADC"/>
              <w:right w:val="nil"/>
            </w:tcBorders>
            <w:shd w:val="clear" w:color="auto" w:fill="auto"/>
            <w:noWrap/>
            <w:vAlign w:val="bottom"/>
            <w:hideMark/>
          </w:tcPr>
          <w:p w:rsidR="003668EB" w:rsidRPr="003668EB" w:rsidRDefault="003668EB" w:rsidP="003668EB">
            <w:pPr>
              <w:overflowPunct/>
              <w:autoSpaceDE/>
              <w:autoSpaceDN/>
              <w:adjustRightInd/>
              <w:jc w:val="right"/>
              <w:textAlignment w:val="auto"/>
              <w:rPr>
                <w:color w:val="000000"/>
                <w:lang w:eastAsia="ja-JP"/>
              </w:rPr>
            </w:pPr>
            <w:r w:rsidRPr="003668EB">
              <w:rPr>
                <w:color w:val="000000"/>
                <w:lang w:eastAsia="ja-JP"/>
              </w:rPr>
              <w:t>$3,778.81</w:t>
            </w:r>
          </w:p>
        </w:tc>
      </w:tr>
      <w:tr w:rsidR="003668EB" w:rsidRPr="003668EB" w:rsidTr="003668EB">
        <w:trPr>
          <w:trHeight w:val="439"/>
        </w:trPr>
        <w:tc>
          <w:tcPr>
            <w:tcW w:w="5740" w:type="dxa"/>
            <w:tcBorders>
              <w:top w:val="nil"/>
              <w:left w:val="nil"/>
              <w:bottom w:val="single" w:sz="4" w:space="0" w:color="8EAADC"/>
              <w:right w:val="nil"/>
            </w:tcBorders>
            <w:shd w:val="clear" w:color="auto" w:fill="auto"/>
            <w:vAlign w:val="bottom"/>
            <w:hideMark/>
          </w:tcPr>
          <w:p w:rsidR="003668EB" w:rsidRPr="003668EB" w:rsidRDefault="003668EB" w:rsidP="003668EB">
            <w:pPr>
              <w:overflowPunct/>
              <w:autoSpaceDE/>
              <w:autoSpaceDN/>
              <w:adjustRightInd/>
              <w:textAlignment w:val="auto"/>
              <w:rPr>
                <w:color w:val="000000"/>
                <w:lang w:eastAsia="ja-JP"/>
              </w:rPr>
            </w:pPr>
            <w:r w:rsidRPr="003668EB">
              <w:rPr>
                <w:color w:val="000000"/>
                <w:lang w:eastAsia="ja-JP"/>
              </w:rPr>
              <w:t>XCOM Global Hotspot for WRLS return shipment</w:t>
            </w:r>
          </w:p>
        </w:tc>
        <w:tc>
          <w:tcPr>
            <w:tcW w:w="1220" w:type="dxa"/>
            <w:tcBorders>
              <w:top w:val="nil"/>
              <w:left w:val="nil"/>
              <w:bottom w:val="single" w:sz="4" w:space="0" w:color="8EAADC"/>
              <w:right w:val="nil"/>
            </w:tcBorders>
            <w:shd w:val="clear" w:color="auto" w:fill="auto"/>
            <w:noWrap/>
            <w:vAlign w:val="bottom"/>
            <w:hideMark/>
          </w:tcPr>
          <w:p w:rsidR="003668EB" w:rsidRPr="003668EB" w:rsidRDefault="003668EB" w:rsidP="003668EB">
            <w:pPr>
              <w:overflowPunct/>
              <w:autoSpaceDE/>
              <w:autoSpaceDN/>
              <w:adjustRightInd/>
              <w:jc w:val="right"/>
              <w:textAlignment w:val="auto"/>
              <w:rPr>
                <w:color w:val="000000"/>
                <w:lang w:eastAsia="ja-JP"/>
              </w:rPr>
            </w:pPr>
            <w:r w:rsidRPr="003668EB">
              <w:rPr>
                <w:color w:val="000000"/>
                <w:lang w:eastAsia="ja-JP"/>
              </w:rPr>
              <w:t>$14.95</w:t>
            </w:r>
          </w:p>
        </w:tc>
      </w:tr>
      <w:tr w:rsidR="003668EB" w:rsidRPr="003668EB" w:rsidTr="003668EB">
        <w:trPr>
          <w:trHeight w:val="439"/>
        </w:trPr>
        <w:tc>
          <w:tcPr>
            <w:tcW w:w="5740" w:type="dxa"/>
            <w:tcBorders>
              <w:top w:val="nil"/>
              <w:left w:val="nil"/>
              <w:bottom w:val="nil"/>
              <w:right w:val="nil"/>
            </w:tcBorders>
            <w:shd w:val="clear" w:color="auto" w:fill="auto"/>
            <w:noWrap/>
            <w:vAlign w:val="bottom"/>
            <w:hideMark/>
          </w:tcPr>
          <w:p w:rsidR="003668EB" w:rsidRPr="003668EB" w:rsidRDefault="003668EB" w:rsidP="003668EB">
            <w:pPr>
              <w:overflowPunct/>
              <w:autoSpaceDE/>
              <w:autoSpaceDN/>
              <w:adjustRightInd/>
              <w:jc w:val="right"/>
              <w:textAlignment w:val="auto"/>
              <w:rPr>
                <w:b/>
                <w:bCs/>
                <w:color w:val="000000"/>
                <w:lang w:eastAsia="ja-JP"/>
              </w:rPr>
            </w:pPr>
            <w:r w:rsidRPr="003668EB">
              <w:rPr>
                <w:b/>
                <w:bCs/>
                <w:color w:val="000000"/>
                <w:lang w:eastAsia="ja-JP"/>
              </w:rPr>
              <w:t>Total</w:t>
            </w:r>
          </w:p>
        </w:tc>
        <w:tc>
          <w:tcPr>
            <w:tcW w:w="1220" w:type="dxa"/>
            <w:tcBorders>
              <w:top w:val="nil"/>
              <w:left w:val="nil"/>
              <w:bottom w:val="nil"/>
              <w:right w:val="nil"/>
            </w:tcBorders>
            <w:shd w:val="clear" w:color="auto" w:fill="auto"/>
            <w:noWrap/>
            <w:vAlign w:val="bottom"/>
            <w:hideMark/>
          </w:tcPr>
          <w:p w:rsidR="003668EB" w:rsidRPr="003668EB" w:rsidRDefault="003668EB" w:rsidP="003668EB">
            <w:pPr>
              <w:overflowPunct/>
              <w:autoSpaceDE/>
              <w:autoSpaceDN/>
              <w:adjustRightInd/>
              <w:jc w:val="right"/>
              <w:textAlignment w:val="auto"/>
              <w:rPr>
                <w:color w:val="000000"/>
                <w:lang w:eastAsia="ja-JP"/>
              </w:rPr>
            </w:pPr>
            <w:r w:rsidRPr="003668EB">
              <w:rPr>
                <w:color w:val="000000"/>
                <w:lang w:eastAsia="ja-JP"/>
              </w:rPr>
              <w:t>$5,235.47</w:t>
            </w:r>
          </w:p>
        </w:tc>
      </w:tr>
    </w:tbl>
    <w:p w:rsidR="00994084" w:rsidRPr="003668EB" w:rsidRDefault="00994084" w:rsidP="003668EB">
      <w:pPr>
        <w:ind w:left="450"/>
        <w:rPr>
          <w:sz w:val="24"/>
          <w:szCs w:val="24"/>
        </w:rPr>
      </w:pPr>
    </w:p>
    <w:p w:rsidR="00A31A7D" w:rsidRDefault="008D5A21" w:rsidP="00B748B1">
      <w:pPr>
        <w:pStyle w:val="ListParagraph"/>
        <w:numPr>
          <w:ilvl w:val="0"/>
          <w:numId w:val="1"/>
        </w:numPr>
        <w:ind w:left="450" w:hanging="450"/>
        <w:rPr>
          <w:sz w:val="24"/>
          <w:szCs w:val="24"/>
        </w:rPr>
      </w:pPr>
      <w:r w:rsidRPr="00B37140">
        <w:rPr>
          <w:sz w:val="24"/>
          <w:szCs w:val="24"/>
        </w:rPr>
        <w:t xml:space="preserve">Conclusion: ANSO is recognized by the Sea Service Chiefs as the subject matter experts </w:t>
      </w:r>
      <w:r w:rsidR="006F2108" w:rsidRPr="00B37140">
        <w:rPr>
          <w:sz w:val="24"/>
          <w:szCs w:val="24"/>
        </w:rPr>
        <w:t xml:space="preserve">in </w:t>
      </w:r>
      <w:proofErr w:type="gramStart"/>
      <w:r w:rsidRPr="00B37140">
        <w:rPr>
          <w:sz w:val="24"/>
          <w:szCs w:val="24"/>
        </w:rPr>
        <w:t>retaining</w:t>
      </w:r>
      <w:proofErr w:type="gramEnd"/>
      <w:r w:rsidRPr="00B37140">
        <w:rPr>
          <w:sz w:val="24"/>
          <w:szCs w:val="24"/>
        </w:rPr>
        <w:t>, mentoring, and developing junior officers and enlisted personnel.  Even though ANSO is a Hispanic affinity organization, the success that ANSO has shown in developing and mentor</w:t>
      </w:r>
      <w:r w:rsidR="006F2108" w:rsidRPr="00B37140">
        <w:rPr>
          <w:sz w:val="24"/>
          <w:szCs w:val="24"/>
        </w:rPr>
        <w:t>ing</w:t>
      </w:r>
      <w:r w:rsidRPr="00B37140">
        <w:rPr>
          <w:sz w:val="24"/>
          <w:szCs w:val="24"/>
        </w:rPr>
        <w:t xml:space="preserve"> all personnel is</w:t>
      </w:r>
      <w:r w:rsidR="006F2108" w:rsidRPr="00B37140">
        <w:rPr>
          <w:sz w:val="24"/>
          <w:szCs w:val="24"/>
        </w:rPr>
        <w:t xml:space="preserve"> unmatched.</w:t>
      </w:r>
      <w:r w:rsidR="00447432">
        <w:rPr>
          <w:sz w:val="24"/>
          <w:szCs w:val="24"/>
        </w:rPr>
        <w:t xml:space="preserve">  </w:t>
      </w:r>
      <w:r w:rsidR="00447432" w:rsidRPr="00447432">
        <w:rPr>
          <w:sz w:val="24"/>
          <w:szCs w:val="24"/>
        </w:rPr>
        <w:t>A mentor does not have to be associated with your career. Mr. Fred Sotelo and Alex Montoya suggest that we all have mentors in many areas of our life and it is important to seek out those opportunities to have the right person to help us along our path.  We are not perfect and whether it be for career, marriage, financial or spiritual guidance, we</w:t>
      </w:r>
      <w:r w:rsidR="003B21CD">
        <w:rPr>
          <w:sz w:val="24"/>
          <w:szCs w:val="24"/>
        </w:rPr>
        <w:t xml:space="preserve"> could all use someone to turn t</w:t>
      </w:r>
      <w:r w:rsidR="00447432" w:rsidRPr="00447432">
        <w:rPr>
          <w:sz w:val="24"/>
          <w:szCs w:val="24"/>
        </w:rPr>
        <w:t>o!</w:t>
      </w:r>
    </w:p>
    <w:p w:rsidR="00531A18" w:rsidRDefault="00531A18" w:rsidP="00531A18">
      <w:pPr>
        <w:rPr>
          <w:sz w:val="24"/>
          <w:szCs w:val="24"/>
        </w:rPr>
      </w:pPr>
    </w:p>
    <w:p w:rsidR="00531A18" w:rsidRDefault="00531A18" w:rsidP="003B21CD">
      <w:pPr>
        <w:ind w:left="4320"/>
        <w:rPr>
          <w:sz w:val="24"/>
          <w:szCs w:val="24"/>
        </w:rPr>
      </w:pPr>
      <w:r>
        <w:rPr>
          <w:sz w:val="24"/>
          <w:szCs w:val="24"/>
        </w:rPr>
        <w:t>Very Respectfully</w:t>
      </w:r>
      <w:r w:rsidR="003B21CD">
        <w:rPr>
          <w:sz w:val="24"/>
          <w:szCs w:val="24"/>
        </w:rPr>
        <w:t>,</w:t>
      </w:r>
    </w:p>
    <w:p w:rsidR="00531A18" w:rsidRDefault="00531A18" w:rsidP="003B21CD">
      <w:pPr>
        <w:ind w:left="4320"/>
        <w:rPr>
          <w:sz w:val="24"/>
          <w:szCs w:val="24"/>
        </w:rPr>
      </w:pPr>
    </w:p>
    <w:p w:rsidR="00531A18" w:rsidRDefault="003B21CD" w:rsidP="003B21CD">
      <w:pPr>
        <w:ind w:left="4320"/>
        <w:rPr>
          <w:sz w:val="24"/>
          <w:szCs w:val="24"/>
        </w:rPr>
      </w:pPr>
      <w:r>
        <w:rPr>
          <w:sz w:val="24"/>
          <w:szCs w:val="24"/>
        </w:rPr>
        <w:t xml:space="preserve">LCDR </w:t>
      </w:r>
      <w:r w:rsidR="00531A18">
        <w:rPr>
          <w:sz w:val="24"/>
          <w:szCs w:val="24"/>
        </w:rPr>
        <w:t>Henry A Martinez II</w:t>
      </w:r>
      <w:r>
        <w:rPr>
          <w:sz w:val="24"/>
          <w:szCs w:val="24"/>
        </w:rPr>
        <w:t xml:space="preserve"> USN</w:t>
      </w:r>
      <w:bookmarkStart w:id="0" w:name="_GoBack"/>
      <w:bookmarkEnd w:id="0"/>
    </w:p>
    <w:p w:rsidR="003B21CD" w:rsidRPr="00531A18" w:rsidRDefault="003B21CD" w:rsidP="003B21CD">
      <w:pPr>
        <w:ind w:left="4320"/>
        <w:rPr>
          <w:sz w:val="24"/>
          <w:szCs w:val="24"/>
        </w:rPr>
      </w:pPr>
      <w:r>
        <w:rPr>
          <w:sz w:val="24"/>
          <w:szCs w:val="24"/>
        </w:rPr>
        <w:t>ANSO Western Region President</w:t>
      </w:r>
    </w:p>
    <w:sectPr w:rsidR="003B21CD" w:rsidRPr="00531A18" w:rsidSect="00817551">
      <w:headerReference w:type="default" r:id="rId8"/>
      <w:footerReference w:type="defaul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51" w:rsidRDefault="00BD3C51" w:rsidP="00817551">
      <w:r>
        <w:separator/>
      </w:r>
    </w:p>
  </w:endnote>
  <w:endnote w:type="continuationSeparator" w:id="0">
    <w:p w:rsidR="00BD3C51" w:rsidRDefault="00BD3C51" w:rsidP="00817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37202"/>
      <w:docPartObj>
        <w:docPartGallery w:val="Page Numbers (Bottom of Page)"/>
        <w:docPartUnique/>
      </w:docPartObj>
    </w:sdtPr>
    <w:sdtContent>
      <w:p w:rsidR="007E51DF" w:rsidRDefault="00943572">
        <w:pPr>
          <w:pStyle w:val="Footer"/>
          <w:jc w:val="right"/>
        </w:pPr>
        <w:r>
          <w:fldChar w:fldCharType="begin"/>
        </w:r>
        <w:r w:rsidR="00C03626">
          <w:instrText xml:space="preserve"> PAGE   \* MERGEFORMAT </w:instrText>
        </w:r>
        <w:r>
          <w:fldChar w:fldCharType="separate"/>
        </w:r>
        <w:r w:rsidR="003668EB">
          <w:rPr>
            <w:noProof/>
          </w:rPr>
          <w:t>2</w:t>
        </w:r>
        <w:r>
          <w:rPr>
            <w:noProof/>
          </w:rPr>
          <w:fldChar w:fldCharType="end"/>
        </w:r>
      </w:p>
    </w:sdtContent>
  </w:sdt>
  <w:p w:rsidR="007E51DF" w:rsidRDefault="007E51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37201"/>
      <w:docPartObj>
        <w:docPartGallery w:val="Page Numbers (Bottom of Page)"/>
        <w:docPartUnique/>
      </w:docPartObj>
    </w:sdtPr>
    <w:sdtContent>
      <w:p w:rsidR="00817551" w:rsidRDefault="00943572">
        <w:pPr>
          <w:pStyle w:val="Footer"/>
          <w:jc w:val="right"/>
        </w:pPr>
        <w:r>
          <w:fldChar w:fldCharType="begin"/>
        </w:r>
        <w:r w:rsidR="00C03626">
          <w:instrText xml:space="preserve"> PAGE   \* MERGEFORMAT </w:instrText>
        </w:r>
        <w:r>
          <w:fldChar w:fldCharType="separate"/>
        </w:r>
        <w:r w:rsidR="003668EB">
          <w:rPr>
            <w:noProof/>
          </w:rPr>
          <w:t>1</w:t>
        </w:r>
        <w:r>
          <w:rPr>
            <w:noProof/>
          </w:rPr>
          <w:fldChar w:fldCharType="end"/>
        </w:r>
      </w:p>
    </w:sdtContent>
  </w:sdt>
  <w:p w:rsidR="00817551" w:rsidRDefault="00817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51" w:rsidRDefault="00BD3C51" w:rsidP="00817551">
      <w:r>
        <w:separator/>
      </w:r>
    </w:p>
  </w:footnote>
  <w:footnote w:type="continuationSeparator" w:id="0">
    <w:p w:rsidR="00BD3C51" w:rsidRDefault="00BD3C51" w:rsidP="00817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B1" w:rsidRPr="00B37140" w:rsidRDefault="00B748B1" w:rsidP="00B748B1">
    <w:pPr>
      <w:ind w:left="720" w:hanging="720"/>
      <w:rPr>
        <w:sz w:val="24"/>
        <w:szCs w:val="24"/>
      </w:rPr>
    </w:pPr>
    <w:r w:rsidRPr="00B37140">
      <w:rPr>
        <w:sz w:val="24"/>
        <w:szCs w:val="24"/>
      </w:rPr>
      <w:t>Subj:</w:t>
    </w:r>
    <w:r w:rsidRPr="00B37140">
      <w:rPr>
        <w:sz w:val="24"/>
        <w:szCs w:val="24"/>
      </w:rPr>
      <w:tab/>
      <w:t>ASSOCI</w:t>
    </w:r>
    <w:r>
      <w:rPr>
        <w:sz w:val="24"/>
        <w:szCs w:val="24"/>
      </w:rPr>
      <w:t>ATION OF NAVAL SERVICES OFFICERS (ANSO)</w:t>
    </w:r>
    <w:r w:rsidRPr="00B37140">
      <w:rPr>
        <w:sz w:val="24"/>
        <w:szCs w:val="24"/>
      </w:rPr>
      <w:t xml:space="preserve"> </w:t>
    </w:r>
    <w:r>
      <w:rPr>
        <w:sz w:val="24"/>
        <w:szCs w:val="24"/>
      </w:rPr>
      <w:t xml:space="preserve">WESTERN REGION </w:t>
    </w:r>
    <w:r w:rsidRPr="00B37140">
      <w:rPr>
        <w:sz w:val="24"/>
        <w:szCs w:val="24"/>
      </w:rPr>
      <w:t xml:space="preserve">SYMPOSIUM, </w:t>
    </w:r>
    <w:r>
      <w:rPr>
        <w:sz w:val="24"/>
        <w:szCs w:val="24"/>
      </w:rPr>
      <w:t>19 MAY 2016 A</w:t>
    </w:r>
    <w:r w:rsidRPr="00B37140">
      <w:rPr>
        <w:sz w:val="24"/>
        <w:szCs w:val="24"/>
      </w:rPr>
      <w:t>FTER ACTION REPORT</w:t>
    </w:r>
  </w:p>
  <w:p w:rsidR="00817551" w:rsidRPr="00B748B1" w:rsidRDefault="00817551" w:rsidP="00B74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70603"/>
    <w:multiLevelType w:val="hybridMultilevel"/>
    <w:tmpl w:val="A8787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F05A6"/>
    <w:multiLevelType w:val="hybridMultilevel"/>
    <w:tmpl w:val="19CCE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67885"/>
    <w:multiLevelType w:val="multilevel"/>
    <w:tmpl w:val="D61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36FEF"/>
    <w:multiLevelType w:val="hybridMultilevel"/>
    <w:tmpl w:val="19CCE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F7377"/>
    <w:multiLevelType w:val="hybridMultilevel"/>
    <w:tmpl w:val="D4FEB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8F1756"/>
    <w:multiLevelType w:val="hybridMultilevel"/>
    <w:tmpl w:val="6364821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91E15"/>
    <w:rsid w:val="000460FE"/>
    <w:rsid w:val="000A447D"/>
    <w:rsid w:val="000C45E3"/>
    <w:rsid w:val="00116C5B"/>
    <w:rsid w:val="00131EC7"/>
    <w:rsid w:val="00176C76"/>
    <w:rsid w:val="00186E6C"/>
    <w:rsid w:val="0019312A"/>
    <w:rsid w:val="001C7875"/>
    <w:rsid w:val="001D2F83"/>
    <w:rsid w:val="001D62DE"/>
    <w:rsid w:val="00203530"/>
    <w:rsid w:val="002071E0"/>
    <w:rsid w:val="002114BC"/>
    <w:rsid w:val="00255427"/>
    <w:rsid w:val="00291963"/>
    <w:rsid w:val="002A5F9D"/>
    <w:rsid w:val="002A7384"/>
    <w:rsid w:val="002C300E"/>
    <w:rsid w:val="002C3DA4"/>
    <w:rsid w:val="002D4B9B"/>
    <w:rsid w:val="002F0260"/>
    <w:rsid w:val="002F3CD0"/>
    <w:rsid w:val="003053EC"/>
    <w:rsid w:val="00310F9D"/>
    <w:rsid w:val="00317E79"/>
    <w:rsid w:val="00325E63"/>
    <w:rsid w:val="00326E8F"/>
    <w:rsid w:val="00327308"/>
    <w:rsid w:val="00351781"/>
    <w:rsid w:val="003668EB"/>
    <w:rsid w:val="00382A1E"/>
    <w:rsid w:val="003B21CD"/>
    <w:rsid w:val="003D0CB2"/>
    <w:rsid w:val="003D1E71"/>
    <w:rsid w:val="003D448A"/>
    <w:rsid w:val="003E7319"/>
    <w:rsid w:val="003F1C8C"/>
    <w:rsid w:val="00402FC7"/>
    <w:rsid w:val="00420D94"/>
    <w:rsid w:val="00447432"/>
    <w:rsid w:val="0045034C"/>
    <w:rsid w:val="004821EE"/>
    <w:rsid w:val="004A471E"/>
    <w:rsid w:val="004A7658"/>
    <w:rsid w:val="004E6A5F"/>
    <w:rsid w:val="00501086"/>
    <w:rsid w:val="00502203"/>
    <w:rsid w:val="00517D48"/>
    <w:rsid w:val="00531A18"/>
    <w:rsid w:val="005411B9"/>
    <w:rsid w:val="005706A0"/>
    <w:rsid w:val="00572886"/>
    <w:rsid w:val="00595D4C"/>
    <w:rsid w:val="005B0CD0"/>
    <w:rsid w:val="005C503C"/>
    <w:rsid w:val="005E4C9F"/>
    <w:rsid w:val="005F0C57"/>
    <w:rsid w:val="00604373"/>
    <w:rsid w:val="006139A7"/>
    <w:rsid w:val="00643E8B"/>
    <w:rsid w:val="00681258"/>
    <w:rsid w:val="00694051"/>
    <w:rsid w:val="006A128E"/>
    <w:rsid w:val="006D0352"/>
    <w:rsid w:val="006E0656"/>
    <w:rsid w:val="006F2108"/>
    <w:rsid w:val="00720D16"/>
    <w:rsid w:val="00774077"/>
    <w:rsid w:val="007A6318"/>
    <w:rsid w:val="007B78EF"/>
    <w:rsid w:val="007E4C3F"/>
    <w:rsid w:val="007E51DF"/>
    <w:rsid w:val="00804CEA"/>
    <w:rsid w:val="00817551"/>
    <w:rsid w:val="00845E39"/>
    <w:rsid w:val="00851A46"/>
    <w:rsid w:val="00853098"/>
    <w:rsid w:val="0086536E"/>
    <w:rsid w:val="0087369E"/>
    <w:rsid w:val="00874DD8"/>
    <w:rsid w:val="008856D4"/>
    <w:rsid w:val="008B008D"/>
    <w:rsid w:val="008C2FAB"/>
    <w:rsid w:val="008D5A21"/>
    <w:rsid w:val="009101C2"/>
    <w:rsid w:val="00943572"/>
    <w:rsid w:val="009763C8"/>
    <w:rsid w:val="00994084"/>
    <w:rsid w:val="009A251C"/>
    <w:rsid w:val="00A12B71"/>
    <w:rsid w:val="00A31A7D"/>
    <w:rsid w:val="00A325E4"/>
    <w:rsid w:val="00A368A1"/>
    <w:rsid w:val="00AB43AD"/>
    <w:rsid w:val="00AD1668"/>
    <w:rsid w:val="00AF31DC"/>
    <w:rsid w:val="00B00E6B"/>
    <w:rsid w:val="00B013B6"/>
    <w:rsid w:val="00B16830"/>
    <w:rsid w:val="00B25BA9"/>
    <w:rsid w:val="00B37140"/>
    <w:rsid w:val="00B41787"/>
    <w:rsid w:val="00B46318"/>
    <w:rsid w:val="00B55EAD"/>
    <w:rsid w:val="00B61B79"/>
    <w:rsid w:val="00B748B1"/>
    <w:rsid w:val="00B97502"/>
    <w:rsid w:val="00BC3518"/>
    <w:rsid w:val="00BD0E49"/>
    <w:rsid w:val="00BD2263"/>
    <w:rsid w:val="00BD3C51"/>
    <w:rsid w:val="00C00113"/>
    <w:rsid w:val="00C02DCF"/>
    <w:rsid w:val="00C03626"/>
    <w:rsid w:val="00C16C8B"/>
    <w:rsid w:val="00C27A06"/>
    <w:rsid w:val="00C340B2"/>
    <w:rsid w:val="00C40161"/>
    <w:rsid w:val="00C90C63"/>
    <w:rsid w:val="00C91E15"/>
    <w:rsid w:val="00CA19F0"/>
    <w:rsid w:val="00CB3E8D"/>
    <w:rsid w:val="00CC238E"/>
    <w:rsid w:val="00CD7DE9"/>
    <w:rsid w:val="00D2129E"/>
    <w:rsid w:val="00D526EC"/>
    <w:rsid w:val="00D85115"/>
    <w:rsid w:val="00DA733D"/>
    <w:rsid w:val="00DC28B7"/>
    <w:rsid w:val="00DD16D9"/>
    <w:rsid w:val="00DF2C8E"/>
    <w:rsid w:val="00E470A2"/>
    <w:rsid w:val="00E60FD3"/>
    <w:rsid w:val="00E932E9"/>
    <w:rsid w:val="00EA163A"/>
    <w:rsid w:val="00ED480F"/>
    <w:rsid w:val="00EE0A3F"/>
    <w:rsid w:val="00F075AD"/>
    <w:rsid w:val="00F34246"/>
    <w:rsid w:val="00F65694"/>
    <w:rsid w:val="00F8094F"/>
    <w:rsid w:val="00FA1C98"/>
    <w:rsid w:val="00FC07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48"/>
    <w:pPr>
      <w:overflowPunct w:val="0"/>
      <w:autoSpaceDE w:val="0"/>
      <w:autoSpaceDN w:val="0"/>
      <w:adjustRightInd w:val="0"/>
      <w:textAlignment w:val="baseline"/>
    </w:pPr>
  </w:style>
  <w:style w:type="paragraph" w:styleId="Heading3">
    <w:name w:val="heading 3"/>
    <w:basedOn w:val="Normal"/>
    <w:link w:val="Heading3Char"/>
    <w:uiPriority w:val="9"/>
    <w:qFormat/>
    <w:rsid w:val="002C300E"/>
    <w:pPr>
      <w:overflowPunct/>
      <w:autoSpaceDE/>
      <w:autoSpaceDN/>
      <w:adjustRightInd/>
      <w:spacing w:before="45" w:after="150"/>
      <w:textAlignment w:val="auto"/>
      <w:outlineLvl w:val="2"/>
    </w:pPr>
    <w:rPr>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A4"/>
    <w:pPr>
      <w:ind w:left="720"/>
      <w:contextualSpacing/>
    </w:pPr>
  </w:style>
  <w:style w:type="character" w:customStyle="1" w:styleId="Heading3Char">
    <w:name w:val="Heading 3 Char"/>
    <w:basedOn w:val="DefaultParagraphFont"/>
    <w:link w:val="Heading3"/>
    <w:uiPriority w:val="9"/>
    <w:rsid w:val="002C300E"/>
    <w:rPr>
      <w:b/>
      <w:bCs/>
      <w:color w:val="666666"/>
      <w:sz w:val="24"/>
      <w:szCs w:val="24"/>
    </w:rPr>
  </w:style>
  <w:style w:type="table" w:styleId="TableGrid">
    <w:name w:val="Table Grid"/>
    <w:basedOn w:val="TableNormal"/>
    <w:rsid w:val="00A31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17551"/>
    <w:pPr>
      <w:tabs>
        <w:tab w:val="center" w:pos="4680"/>
        <w:tab w:val="right" w:pos="9360"/>
      </w:tabs>
    </w:pPr>
  </w:style>
  <w:style w:type="character" w:customStyle="1" w:styleId="HeaderChar">
    <w:name w:val="Header Char"/>
    <w:basedOn w:val="DefaultParagraphFont"/>
    <w:link w:val="Header"/>
    <w:rsid w:val="00817551"/>
  </w:style>
  <w:style w:type="paragraph" w:styleId="Footer">
    <w:name w:val="footer"/>
    <w:basedOn w:val="Normal"/>
    <w:link w:val="FooterChar"/>
    <w:uiPriority w:val="99"/>
    <w:rsid w:val="00817551"/>
    <w:pPr>
      <w:tabs>
        <w:tab w:val="center" w:pos="4680"/>
        <w:tab w:val="right" w:pos="9360"/>
      </w:tabs>
    </w:pPr>
  </w:style>
  <w:style w:type="character" w:customStyle="1" w:styleId="FooterChar">
    <w:name w:val="Footer Char"/>
    <w:basedOn w:val="DefaultParagraphFont"/>
    <w:link w:val="Footer"/>
    <w:uiPriority w:val="99"/>
    <w:rsid w:val="00817551"/>
  </w:style>
</w:styles>
</file>

<file path=word/webSettings.xml><?xml version="1.0" encoding="utf-8"?>
<w:webSettings xmlns:r="http://schemas.openxmlformats.org/officeDocument/2006/relationships" xmlns:w="http://schemas.openxmlformats.org/wordprocessingml/2006/main">
  <w:divs>
    <w:div w:id="679891681">
      <w:bodyDiv w:val="1"/>
      <w:marLeft w:val="0"/>
      <w:marRight w:val="0"/>
      <w:marTop w:val="0"/>
      <w:marBottom w:val="0"/>
      <w:divBdr>
        <w:top w:val="none" w:sz="0" w:space="0" w:color="auto"/>
        <w:left w:val="none" w:sz="0" w:space="0" w:color="auto"/>
        <w:bottom w:val="none" w:sz="0" w:space="0" w:color="auto"/>
        <w:right w:val="none" w:sz="0" w:space="0" w:color="auto"/>
      </w:divBdr>
    </w:div>
    <w:div w:id="875696740">
      <w:bodyDiv w:val="1"/>
      <w:marLeft w:val="0"/>
      <w:marRight w:val="0"/>
      <w:marTop w:val="0"/>
      <w:marBottom w:val="0"/>
      <w:divBdr>
        <w:top w:val="none" w:sz="0" w:space="0" w:color="auto"/>
        <w:left w:val="none" w:sz="0" w:space="0" w:color="auto"/>
        <w:bottom w:val="none" w:sz="0" w:space="0" w:color="auto"/>
        <w:right w:val="none" w:sz="0" w:space="0" w:color="auto"/>
      </w:divBdr>
    </w:div>
    <w:div w:id="896553287">
      <w:bodyDiv w:val="1"/>
      <w:marLeft w:val="0"/>
      <w:marRight w:val="0"/>
      <w:marTop w:val="0"/>
      <w:marBottom w:val="0"/>
      <w:divBdr>
        <w:top w:val="none" w:sz="0" w:space="0" w:color="auto"/>
        <w:left w:val="none" w:sz="0" w:space="0" w:color="auto"/>
        <w:bottom w:val="none" w:sz="0" w:space="0" w:color="auto"/>
        <w:right w:val="none" w:sz="0" w:space="0" w:color="auto"/>
      </w:divBdr>
    </w:div>
    <w:div w:id="1164013279">
      <w:bodyDiv w:val="1"/>
      <w:marLeft w:val="0"/>
      <w:marRight w:val="0"/>
      <w:marTop w:val="0"/>
      <w:marBottom w:val="0"/>
      <w:divBdr>
        <w:top w:val="none" w:sz="0" w:space="0" w:color="auto"/>
        <w:left w:val="none" w:sz="0" w:space="0" w:color="auto"/>
        <w:bottom w:val="none" w:sz="0" w:space="0" w:color="auto"/>
        <w:right w:val="none" w:sz="0" w:space="0" w:color="auto"/>
      </w:divBdr>
      <w:divsChild>
        <w:div w:id="964190533">
          <w:marLeft w:val="0"/>
          <w:marRight w:val="0"/>
          <w:marTop w:val="720"/>
          <w:marBottom w:val="0"/>
          <w:divBdr>
            <w:top w:val="single" w:sz="24" w:space="8" w:color="B3B3B3"/>
            <w:left w:val="single" w:sz="24" w:space="8" w:color="B3B3B3"/>
            <w:bottom w:val="single" w:sz="24" w:space="8" w:color="B3B3B3"/>
            <w:right w:val="single" w:sz="24" w:space="8" w:color="B3B3B3"/>
          </w:divBdr>
          <w:divsChild>
            <w:div w:id="1105231702">
              <w:marLeft w:val="0"/>
              <w:marRight w:val="0"/>
              <w:marTop w:val="0"/>
              <w:marBottom w:val="0"/>
              <w:divBdr>
                <w:top w:val="none" w:sz="0" w:space="0" w:color="auto"/>
                <w:left w:val="none" w:sz="0" w:space="0" w:color="auto"/>
                <w:bottom w:val="none" w:sz="0" w:space="0" w:color="auto"/>
                <w:right w:val="none" w:sz="0" w:space="0" w:color="auto"/>
              </w:divBdr>
              <w:divsChild>
                <w:div w:id="142965984">
                  <w:marLeft w:val="0"/>
                  <w:marRight w:val="0"/>
                  <w:marTop w:val="0"/>
                  <w:marBottom w:val="0"/>
                  <w:divBdr>
                    <w:top w:val="none" w:sz="0" w:space="0" w:color="auto"/>
                    <w:left w:val="none" w:sz="0" w:space="0" w:color="auto"/>
                    <w:bottom w:val="none" w:sz="0" w:space="0" w:color="auto"/>
                    <w:right w:val="none" w:sz="0" w:space="0" w:color="auto"/>
                  </w:divBdr>
                  <w:divsChild>
                    <w:div w:id="988629321">
                      <w:marLeft w:val="0"/>
                      <w:marRight w:val="0"/>
                      <w:marTop w:val="0"/>
                      <w:marBottom w:val="0"/>
                      <w:divBdr>
                        <w:top w:val="none" w:sz="0" w:space="0" w:color="auto"/>
                        <w:left w:val="none" w:sz="0" w:space="0" w:color="auto"/>
                        <w:bottom w:val="none" w:sz="0" w:space="0" w:color="auto"/>
                        <w:right w:val="none" w:sz="0" w:space="0" w:color="auto"/>
                      </w:divBdr>
                      <w:divsChild>
                        <w:div w:id="11911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24911">
      <w:bodyDiv w:val="1"/>
      <w:marLeft w:val="0"/>
      <w:marRight w:val="0"/>
      <w:marTop w:val="0"/>
      <w:marBottom w:val="0"/>
      <w:divBdr>
        <w:top w:val="none" w:sz="0" w:space="0" w:color="auto"/>
        <w:left w:val="none" w:sz="0" w:space="0" w:color="auto"/>
        <w:bottom w:val="none" w:sz="0" w:space="0" w:color="auto"/>
        <w:right w:val="none" w:sz="0" w:space="0" w:color="auto"/>
      </w:divBdr>
      <w:divsChild>
        <w:div w:id="552739061">
          <w:marLeft w:val="0"/>
          <w:marRight w:val="0"/>
          <w:marTop w:val="720"/>
          <w:marBottom w:val="0"/>
          <w:divBdr>
            <w:top w:val="single" w:sz="24" w:space="8" w:color="B3B3B3"/>
            <w:left w:val="single" w:sz="24" w:space="8" w:color="B3B3B3"/>
            <w:bottom w:val="single" w:sz="24" w:space="8" w:color="B3B3B3"/>
            <w:right w:val="single" w:sz="24" w:space="8" w:color="B3B3B3"/>
          </w:divBdr>
          <w:divsChild>
            <w:div w:id="719524913">
              <w:marLeft w:val="0"/>
              <w:marRight w:val="0"/>
              <w:marTop w:val="0"/>
              <w:marBottom w:val="0"/>
              <w:divBdr>
                <w:top w:val="none" w:sz="0" w:space="0" w:color="auto"/>
                <w:left w:val="none" w:sz="0" w:space="0" w:color="auto"/>
                <w:bottom w:val="none" w:sz="0" w:space="0" w:color="auto"/>
                <w:right w:val="none" w:sz="0" w:space="0" w:color="auto"/>
              </w:divBdr>
              <w:divsChild>
                <w:div w:id="1962564936">
                  <w:marLeft w:val="0"/>
                  <w:marRight w:val="0"/>
                  <w:marTop w:val="0"/>
                  <w:marBottom w:val="0"/>
                  <w:divBdr>
                    <w:top w:val="none" w:sz="0" w:space="0" w:color="auto"/>
                    <w:left w:val="none" w:sz="0" w:space="0" w:color="auto"/>
                    <w:bottom w:val="none" w:sz="0" w:space="0" w:color="auto"/>
                    <w:right w:val="none" w:sz="0" w:space="0" w:color="auto"/>
                  </w:divBdr>
                  <w:divsChild>
                    <w:div w:id="1730493177">
                      <w:marLeft w:val="0"/>
                      <w:marRight w:val="0"/>
                      <w:marTop w:val="0"/>
                      <w:marBottom w:val="0"/>
                      <w:divBdr>
                        <w:top w:val="none" w:sz="0" w:space="0" w:color="auto"/>
                        <w:left w:val="none" w:sz="0" w:space="0" w:color="auto"/>
                        <w:bottom w:val="none" w:sz="0" w:space="0" w:color="auto"/>
                        <w:right w:val="none" w:sz="0" w:space="0" w:color="auto"/>
                      </w:divBdr>
                      <w:divsChild>
                        <w:div w:id="13294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0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2C3F-9DC5-4C0F-9B2D-54ACBCE7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JAVelazquez</dc:creator>
  <cp:lastModifiedBy>Casa Rodriguez</cp:lastModifiedBy>
  <cp:revision>4</cp:revision>
  <dcterms:created xsi:type="dcterms:W3CDTF">2016-08-10T17:06:00Z</dcterms:created>
  <dcterms:modified xsi:type="dcterms:W3CDTF">2018-01-20T12:06:00Z</dcterms:modified>
</cp:coreProperties>
</file>